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7F" w:rsidRPr="00AC7A7F" w:rsidRDefault="00BB13B8" w:rsidP="00AC7A7F">
      <w:pPr>
        <w:pStyle w:val="a3"/>
        <w:shd w:val="clear" w:color="auto" w:fill="FFFFFF"/>
        <w:spacing w:before="0" w:beforeAutospacing="0" w:after="446" w:afterAutospacing="0"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AC7A7F">
        <w:rPr>
          <w:b/>
          <w:color w:val="000000"/>
          <w:sz w:val="28"/>
          <w:szCs w:val="28"/>
        </w:rPr>
        <w:t>Бучанська міська  рада</w:t>
      </w:r>
      <w:r w:rsidR="007B7931" w:rsidRPr="00AC7A7F">
        <w:rPr>
          <w:b/>
          <w:color w:val="000000"/>
          <w:sz w:val="28"/>
          <w:szCs w:val="28"/>
        </w:rPr>
        <w:t xml:space="preserve"> </w:t>
      </w:r>
      <w:r w:rsidR="00B65A1D" w:rsidRPr="00AC7A7F">
        <w:rPr>
          <w:b/>
          <w:color w:val="000000"/>
          <w:sz w:val="28"/>
          <w:szCs w:val="28"/>
        </w:rPr>
        <w:t xml:space="preserve"> оголошує </w:t>
      </w:r>
      <w:r w:rsidR="00CC2737">
        <w:rPr>
          <w:b/>
          <w:color w:val="000000"/>
          <w:sz w:val="28"/>
          <w:szCs w:val="28"/>
        </w:rPr>
        <w:t>конкурс з призначення управителів</w:t>
      </w:r>
      <w:r w:rsidR="00B65A1D" w:rsidRPr="00AC7A7F">
        <w:rPr>
          <w:b/>
          <w:color w:val="000000"/>
          <w:sz w:val="28"/>
          <w:szCs w:val="28"/>
        </w:rPr>
        <w:t xml:space="preserve"> б</w:t>
      </w:r>
      <w:r w:rsidRPr="00AC7A7F">
        <w:rPr>
          <w:b/>
          <w:color w:val="000000"/>
          <w:sz w:val="28"/>
          <w:szCs w:val="28"/>
        </w:rPr>
        <w:t>агатоквартирних будинків міста Буча</w:t>
      </w:r>
      <w:r w:rsidR="00B65A1D" w:rsidRPr="00AC7A7F">
        <w:rPr>
          <w:b/>
          <w:color w:val="000000"/>
          <w:sz w:val="28"/>
          <w:szCs w:val="28"/>
        </w:rPr>
        <w:t>:</w:t>
      </w:r>
    </w:p>
    <w:p w:rsidR="00B65A1D" w:rsidRDefault="00B65A1D" w:rsidP="00B65A1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9B40E3">
        <w:rPr>
          <w:rStyle w:val="a4"/>
          <w:color w:val="000000"/>
          <w:sz w:val="28"/>
          <w:szCs w:val="28"/>
          <w:bdr w:val="none" w:sz="0" w:space="0" w:color="auto" w:frame="1"/>
        </w:rPr>
        <w:t>1. Найменування, місцезнаходження організатора конкурсу: </w:t>
      </w:r>
      <w:r w:rsidRPr="009B40E3">
        <w:rPr>
          <w:color w:val="000000"/>
          <w:sz w:val="28"/>
          <w:szCs w:val="28"/>
        </w:rPr>
        <w:t xml:space="preserve">Організатор конкурсу – </w:t>
      </w:r>
      <w:r w:rsidR="00BB13B8">
        <w:rPr>
          <w:color w:val="000000"/>
          <w:sz w:val="28"/>
          <w:szCs w:val="28"/>
        </w:rPr>
        <w:t>Бучанська міська рада,</w:t>
      </w:r>
      <w:r w:rsidRPr="009B40E3">
        <w:rPr>
          <w:color w:val="000000"/>
          <w:sz w:val="28"/>
          <w:szCs w:val="28"/>
        </w:rPr>
        <w:t xml:space="preserve"> </w:t>
      </w:r>
      <w:r w:rsidR="00BB13B8">
        <w:rPr>
          <w:color w:val="000000"/>
          <w:sz w:val="28"/>
          <w:szCs w:val="28"/>
        </w:rPr>
        <w:t>0</w:t>
      </w:r>
      <w:r w:rsidRPr="009B40E3">
        <w:rPr>
          <w:color w:val="000000"/>
          <w:sz w:val="28"/>
          <w:szCs w:val="28"/>
        </w:rPr>
        <w:t>8</w:t>
      </w:r>
      <w:r w:rsidR="00BB13B8">
        <w:rPr>
          <w:color w:val="000000"/>
          <w:sz w:val="28"/>
          <w:szCs w:val="28"/>
        </w:rPr>
        <w:t>292</w:t>
      </w:r>
      <w:r w:rsidRPr="009B40E3">
        <w:rPr>
          <w:color w:val="000000"/>
          <w:sz w:val="28"/>
          <w:szCs w:val="28"/>
        </w:rPr>
        <w:t xml:space="preserve">   м. </w:t>
      </w:r>
      <w:r w:rsidR="00BB13B8">
        <w:rPr>
          <w:color w:val="000000"/>
          <w:sz w:val="28"/>
          <w:szCs w:val="28"/>
        </w:rPr>
        <w:t>Буча</w:t>
      </w:r>
      <w:r w:rsidRPr="009B40E3">
        <w:rPr>
          <w:color w:val="000000"/>
          <w:sz w:val="28"/>
          <w:szCs w:val="28"/>
        </w:rPr>
        <w:t xml:space="preserve">,    вул. </w:t>
      </w:r>
      <w:r w:rsidR="00BB13B8">
        <w:rPr>
          <w:color w:val="000000"/>
          <w:sz w:val="28"/>
          <w:szCs w:val="28"/>
        </w:rPr>
        <w:t>Енергетиків</w:t>
      </w:r>
      <w:r w:rsidRPr="009B40E3">
        <w:rPr>
          <w:color w:val="000000"/>
          <w:sz w:val="28"/>
          <w:szCs w:val="28"/>
        </w:rPr>
        <w:t>,  </w:t>
      </w:r>
      <w:r w:rsidR="00BB13B8">
        <w:rPr>
          <w:color w:val="000000"/>
          <w:sz w:val="28"/>
          <w:szCs w:val="28"/>
        </w:rPr>
        <w:t>12</w:t>
      </w:r>
      <w:r w:rsidRPr="009B40E3">
        <w:rPr>
          <w:color w:val="000000"/>
          <w:sz w:val="28"/>
          <w:szCs w:val="28"/>
        </w:rPr>
        <w:t xml:space="preserve">   тел.(0</w:t>
      </w:r>
      <w:r w:rsidR="00BB13B8">
        <w:rPr>
          <w:color w:val="000000"/>
          <w:sz w:val="28"/>
          <w:szCs w:val="28"/>
        </w:rPr>
        <w:t>459</w:t>
      </w:r>
      <w:r w:rsidR="007B7931">
        <w:rPr>
          <w:color w:val="000000"/>
          <w:sz w:val="28"/>
          <w:szCs w:val="28"/>
        </w:rPr>
        <w:t>7</w:t>
      </w:r>
      <w:r w:rsidRPr="009B40E3">
        <w:rPr>
          <w:color w:val="000000"/>
          <w:sz w:val="28"/>
          <w:szCs w:val="28"/>
        </w:rPr>
        <w:t xml:space="preserve">) </w:t>
      </w:r>
      <w:r w:rsidR="00BB13B8">
        <w:rPr>
          <w:color w:val="000000"/>
          <w:sz w:val="28"/>
          <w:szCs w:val="28"/>
        </w:rPr>
        <w:t>48</w:t>
      </w:r>
      <w:r w:rsidRPr="009B40E3">
        <w:rPr>
          <w:color w:val="000000"/>
          <w:sz w:val="28"/>
          <w:szCs w:val="28"/>
        </w:rPr>
        <w:t xml:space="preserve"> -</w:t>
      </w:r>
      <w:r w:rsidR="00BB13B8">
        <w:rPr>
          <w:color w:val="000000"/>
          <w:sz w:val="28"/>
          <w:szCs w:val="28"/>
        </w:rPr>
        <w:t>512</w:t>
      </w:r>
      <w:r w:rsidRPr="009B40E3">
        <w:rPr>
          <w:color w:val="000000"/>
          <w:sz w:val="28"/>
          <w:szCs w:val="28"/>
        </w:rPr>
        <w:t>.</w:t>
      </w:r>
    </w:p>
    <w:p w:rsidR="002B7CD4" w:rsidRPr="002B7CD4" w:rsidRDefault="002B7CD4" w:rsidP="00B65A1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</w:p>
    <w:p w:rsidR="00BB13B8" w:rsidRDefault="00BB13B8" w:rsidP="00BB13B8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2.Прізвище посада, номери телефонів осіб уповноважених здійснювати зв'язок з учасниками конкурсу</w:t>
      </w:r>
      <w:r w:rsidR="00EE468D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BB13B8" w:rsidRDefault="00BB13B8" w:rsidP="00BB13B8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000000"/>
          <w:sz w:val="28"/>
          <w:szCs w:val="28"/>
          <w:bdr w:val="none" w:sz="0" w:space="0" w:color="auto" w:frame="1"/>
        </w:rPr>
        <w:t>Докай</w:t>
      </w:r>
      <w:proofErr w:type="spellEnd"/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Олена Андріївна – </w:t>
      </w:r>
      <w:r w:rsidR="007B793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Начальник в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ідділу житлово-комунального господарства, тел. (0459</w:t>
      </w:r>
      <w:r w:rsidR="007B793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7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)</w:t>
      </w:r>
      <w:r w:rsidR="007B793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48-512</w:t>
      </w:r>
      <w:r w:rsidR="002B7CD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2B7CD4" w:rsidRPr="00BB13B8" w:rsidRDefault="002B7CD4" w:rsidP="00BB13B8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B65A1D" w:rsidRPr="009B40E3" w:rsidRDefault="00B65A1D" w:rsidP="00B65A1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9B40E3">
        <w:rPr>
          <w:rStyle w:val="a4"/>
          <w:color w:val="000000"/>
          <w:sz w:val="28"/>
          <w:szCs w:val="28"/>
          <w:bdr w:val="none" w:sz="0" w:space="0" w:color="auto" w:frame="1"/>
        </w:rPr>
        <w:t>3. Перелік послуг та об’єктів конкурсу (будинки або група будинків).</w:t>
      </w:r>
    </w:p>
    <w:p w:rsidR="00AC7A7F" w:rsidRDefault="00B65A1D" w:rsidP="00BB13B8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9B40E3">
        <w:rPr>
          <w:color w:val="000000"/>
          <w:sz w:val="28"/>
          <w:szCs w:val="28"/>
        </w:rPr>
        <w:t xml:space="preserve">3.1. </w:t>
      </w:r>
      <w:r w:rsidRPr="00AC7A7F">
        <w:rPr>
          <w:color w:val="000000"/>
          <w:sz w:val="28"/>
          <w:szCs w:val="28"/>
        </w:rPr>
        <w:t>Послуга – управління багатоквартирним будинком (утримання спільного майна багатоквартирного будинку та  прибудинкової території</w:t>
      </w:r>
      <w:r w:rsidR="00AC7A7F" w:rsidRPr="00AC7A7F">
        <w:rPr>
          <w:color w:val="000000"/>
          <w:sz w:val="28"/>
          <w:szCs w:val="28"/>
        </w:rPr>
        <w:t>, в тому</w:t>
      </w:r>
    </w:p>
    <w:p w:rsidR="00BB13B8" w:rsidRPr="00AC7A7F" w:rsidRDefault="00AC7A7F" w:rsidP="00BB13B8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числі</w:t>
      </w:r>
      <w:r w:rsidRPr="00AC7A7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B65A1D" w:rsidRPr="00AC7A7F">
        <w:rPr>
          <w:color w:val="000000"/>
          <w:sz w:val="28"/>
          <w:szCs w:val="28"/>
        </w:rPr>
        <w:t>).</w:t>
      </w:r>
    </w:p>
    <w:tbl>
      <w:tblPr>
        <w:tblpPr w:leftFromText="180" w:rightFromText="180" w:vertAnchor="text" w:horzAnchor="margin" w:tblpXSpec="center" w:tblpY="-1132"/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"/>
        <w:gridCol w:w="6030"/>
        <w:gridCol w:w="3420"/>
      </w:tblGrid>
      <w:tr w:rsidR="00AC7A7F" w:rsidRPr="00C40592" w:rsidTr="00D979CF">
        <w:trPr>
          <w:trHeight w:val="250"/>
        </w:trPr>
        <w:tc>
          <w:tcPr>
            <w:tcW w:w="9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7A7F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C40592">
              <w:rPr>
                <w:b/>
                <w:i/>
                <w:color w:val="000000"/>
              </w:rPr>
              <w:lastRenderedPageBreak/>
              <w:t>№</w:t>
            </w:r>
          </w:p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b/>
                <w:i/>
                <w:color w:val="000000"/>
              </w:rPr>
              <w:t>Перелік складових</w:t>
            </w:r>
            <w:r w:rsidRPr="00C40592">
              <w:rPr>
                <w:color w:val="00000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b/>
                <w:i/>
                <w:color w:val="000000"/>
              </w:rPr>
              <w:t>Періодичність надання</w:t>
            </w:r>
            <w:r w:rsidRPr="00C40592">
              <w:rPr>
                <w:color w:val="000000"/>
              </w:rPr>
              <w:t xml:space="preserve"> 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Прибирання прибудинкової території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менше 6 днів на тиждень</w:t>
            </w:r>
          </w:p>
        </w:tc>
      </w:tr>
      <w:tr w:rsidR="00AC7A7F" w:rsidRPr="00C40592" w:rsidTr="00D979CF">
        <w:trPr>
          <w:trHeight w:val="1452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785334" w:rsidRDefault="00AC7A7F" w:rsidP="00785334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C40592">
              <w:rPr>
                <w:color w:val="000000"/>
              </w:rPr>
              <w:t>Підмітання території з удосконалим покриттям (</w:t>
            </w:r>
            <w:proofErr w:type="spellStart"/>
            <w:r w:rsidRPr="00C40592">
              <w:rPr>
                <w:color w:val="000000"/>
              </w:rPr>
              <w:t>заасфальтовані,брущаті</w:t>
            </w:r>
            <w:proofErr w:type="spellEnd"/>
            <w:r w:rsidRPr="00C40592">
              <w:rPr>
                <w:color w:val="000000"/>
              </w:rPr>
              <w:t>)(</w:t>
            </w:r>
            <w:r w:rsidRPr="00C40592">
              <w:rPr>
                <w:i/>
                <w:iCs/>
                <w:color w:val="000000"/>
              </w:rPr>
              <w:t>підмітання території, збирання докупи та транспортування сміття в установлене місце</w:t>
            </w:r>
            <w:r w:rsidR="00785334">
              <w:rPr>
                <w:color w:val="000000"/>
              </w:rPr>
              <w:t>)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6 днів на тиждень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Прибирання газону вулиці, газону двору (прибирання сміття з газонів): від випадкового сміття, від листя, хмизу, сміття.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необхідністю, але не менше ніж 2 рази на тиждень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1.1.3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Скошування трави вручну або механічними </w:t>
            </w:r>
            <w:proofErr w:type="spellStart"/>
            <w:r w:rsidRPr="00C40592">
              <w:rPr>
                <w:color w:val="000000"/>
              </w:rPr>
              <w:t>мотокосами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5 раз у період (квітень-вересень) за необхідністю (50% газону двору та вулиці)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Прибирання скошеної трави з газонів (згрібання </w:t>
            </w:r>
          </w:p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скошеної трави з газонів граблями докупи)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5 раз у період (квітень-вересень) за необхідністю (50% газону двору та вулиці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Прибирання контейнерного майданчику після вивозу ТПВ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день, 6 днів на тиждень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1.1.6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Посипання території піском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У зимовий період- за наявності ожеледиці 4-8 раз на місяць ( </w:t>
            </w:r>
            <w:r w:rsidRPr="00C40592">
              <w:rPr>
                <w:i/>
                <w:iCs/>
                <w:color w:val="000000"/>
              </w:rPr>
              <w:t>20% від площі</w:t>
            </w:r>
            <w:r w:rsidRPr="00C40592">
              <w:rPr>
                <w:color w:val="000000"/>
              </w:rPr>
              <w:t>)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1.1.7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Підмітання снігу, який щойно випав, товщиною шару до 2 см.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На тротуарах - з початком снігопаду, у дворах - у той самий день (</w:t>
            </w:r>
            <w:r w:rsidRPr="00C40592">
              <w:rPr>
                <w:i/>
                <w:iCs/>
                <w:color w:val="000000"/>
              </w:rPr>
              <w:t xml:space="preserve"> 10 днів</w:t>
            </w:r>
            <w:r w:rsidRPr="00C40592">
              <w:rPr>
                <w:color w:val="000000"/>
              </w:rPr>
              <w:t>)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1.1.8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Очищення території з удосконаленим покриттям від ущільненого снігу.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C40592">
              <w:rPr>
                <w:color w:val="000000"/>
              </w:rPr>
              <w:t xml:space="preserve">Після прибирання основної маси снігу </w:t>
            </w:r>
            <w:r w:rsidRPr="00C40592">
              <w:rPr>
                <w:i/>
                <w:iCs/>
                <w:color w:val="000000"/>
              </w:rPr>
              <w:t>( 10 днів, 20% від загальної площі)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40592">
              <w:rPr>
                <w:b/>
                <w:color w:val="000000"/>
              </w:rPr>
              <w:t>1.2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Прибирання сходових клітин: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1.2.1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вологе підмітання сходових кліток і маршів, місць загального призначення  з 1 по 3 поверхи.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6 днів на тиждень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1.2.2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вологе підмітання сходових кліток і маршів, місць загального призначення  вище 3 поверху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тиждень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1.2.3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прибирання кабін ліфтів (вологе підмітання)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тиждень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40592">
              <w:rPr>
                <w:b/>
                <w:color w:val="000000"/>
              </w:rPr>
              <w:t>1.3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Прибирання підвалу, технічних поверхів та покрівлі</w:t>
            </w:r>
            <w:r w:rsidR="00785334">
              <w:rPr>
                <w:b/>
                <w:bCs/>
                <w:color w:val="000000"/>
              </w:rPr>
              <w:t xml:space="preserve"> (у разі наявності)</w:t>
            </w:r>
            <w:r w:rsidRPr="00C40592">
              <w:rPr>
                <w:b/>
                <w:bCs/>
                <w:color w:val="000000"/>
              </w:rPr>
              <w:t>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менше ніж 2 рази на рік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1.3.1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Прибирання горищ, підвалів, вільних від обладнання до яких не передбачено вільний доступ ( підмітання, прибирання, транспортування).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Технічне обслуговування ліфтів </w:t>
            </w:r>
            <w:r w:rsidR="00785334">
              <w:rPr>
                <w:b/>
                <w:bCs/>
                <w:color w:val="000000"/>
              </w:rPr>
              <w:t>(у разі наявності)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Щоденно, цілодобово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lastRenderedPageBreak/>
              <w:t>1.5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Технічне обслуговування </w:t>
            </w:r>
            <w:proofErr w:type="spellStart"/>
            <w:r w:rsidRPr="00C40592">
              <w:rPr>
                <w:b/>
                <w:bCs/>
                <w:color w:val="000000"/>
              </w:rPr>
              <w:t>внутрішньобудинкових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систем: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Щоденно, цілодобово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1.5.1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Централізоване опалення: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Санітарно-технічне обслуговування </w:t>
            </w:r>
            <w:proofErr w:type="spellStart"/>
            <w:r w:rsidRPr="00C40592">
              <w:rPr>
                <w:b/>
                <w:bCs/>
                <w:color w:val="000000"/>
              </w:rPr>
              <w:t>внутрішньобудинкових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систем: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Проведення загальних та профілактичних оглядів: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Огляд труб, згонів, відводів, трійників, хрестовин, місць проходження крізь стіни та перегородки.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Огляд опалювальних приладів системи централізованого опалення ( в опалювальний період)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3 рази на рік</w:t>
            </w:r>
          </w:p>
        </w:tc>
      </w:tr>
      <w:tr w:rsidR="00AC7A7F" w:rsidRPr="00C40592" w:rsidTr="00D979CF">
        <w:trPr>
          <w:trHeight w:val="859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- Огляд запірної арматури системи централізованого опалення у горищних та підвальних приміщеннях ( в опалювальний період ).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3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Укріплення ізоляції трубопроводів: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Перевірка стану та укріплення ізоляції, покриття ізоляції, опор, кріплень.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842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Промивання системи централізованого опалення (заповнення системи водою, промивання водо-повітряною суміщу):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100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4 роки</w:t>
            </w:r>
          </w:p>
        </w:tc>
      </w:tr>
      <w:tr w:rsidR="00AC7A7F" w:rsidRPr="00C40592" w:rsidTr="00D979CF">
        <w:trPr>
          <w:trHeight w:val="655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Оглядання та підтягування на трубах контргайок, муфт або їх заміна в опалювальний період: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та підтягування на трубах контргайок, муфт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111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Огляд та очищення конденсаційного горщика, інжектора,елеватора,грязьовика,</w:t>
            </w:r>
            <w:r w:rsidR="00785334">
              <w:rPr>
                <w:b/>
                <w:bCs/>
                <w:color w:val="000000"/>
              </w:rPr>
              <w:t xml:space="preserve"> </w:t>
            </w:r>
            <w:r w:rsidRPr="00C40592">
              <w:rPr>
                <w:b/>
                <w:bCs/>
                <w:color w:val="000000"/>
              </w:rPr>
              <w:t>повітрозбірника,</w:t>
            </w:r>
            <w:r w:rsidR="00785334">
              <w:rPr>
                <w:b/>
                <w:bCs/>
                <w:color w:val="000000"/>
              </w:rPr>
              <w:t xml:space="preserve"> </w:t>
            </w:r>
            <w:r w:rsidRPr="00C40592">
              <w:rPr>
                <w:b/>
                <w:bCs/>
                <w:color w:val="000000"/>
              </w:rPr>
              <w:t>компенсатора,</w:t>
            </w:r>
            <w:r w:rsidR="00785334">
              <w:rPr>
                <w:b/>
                <w:bCs/>
                <w:color w:val="000000"/>
              </w:rPr>
              <w:t xml:space="preserve"> </w:t>
            </w:r>
            <w:r w:rsidRPr="00C40592">
              <w:rPr>
                <w:b/>
                <w:bCs/>
                <w:color w:val="000000"/>
              </w:rPr>
              <w:t>вантуза: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елеваторів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грязьовика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Поновлення сальникових ущільнень на пробкових кранах: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50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Ліквідація повітряних пробок в системі централізованого опалення: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у стояку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необхідністю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 опалювальному приладі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необхідністю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Притирання арматури на місці: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кран пробковий, діаметр умовного проходу до 25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рідше 1 раз на 4 роки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вентиль, діаметр умовного проходу до 25 мм</w:t>
            </w:r>
          </w:p>
        </w:tc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Поновлення сальникових ущільнень на вентилях/засувках: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55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100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F83167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Консервація або розконсервація системи централізованого опалення:</w:t>
            </w: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Консервація ( зливання води із системи, огляд системи, складання опису недоліків, консервування)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61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Розконсервація ( огляд та запускання системи, загальна перевірка працездатності системи)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377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Очищення фільтра: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329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Зовнішнім діаметром труб до 55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1.5.2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Холодне водопостачання: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Санітарно-технічне обслуговування </w:t>
            </w:r>
            <w:proofErr w:type="spellStart"/>
            <w:r w:rsidRPr="00C40592">
              <w:rPr>
                <w:b/>
                <w:bCs/>
                <w:color w:val="000000"/>
              </w:rPr>
              <w:t>внутрішньобудинкових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систем: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Проведення загальних та профілактичних оглядів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7853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труб, згонів,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відводів,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переходів,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трійників,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хрестовин,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місць проходження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 xml:space="preserve"> крізь</w:t>
            </w:r>
            <w:r w:rsidR="00785334">
              <w:rPr>
                <w:color w:val="000000"/>
              </w:rPr>
              <w:t xml:space="preserve"> </w:t>
            </w:r>
            <w:r w:rsidRPr="00C40592">
              <w:rPr>
                <w:color w:val="000000"/>
              </w:rPr>
              <w:t>стіни та перегородки.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Усунення засмічення системи холодного водопостачання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Ущільнення засмічення системи холодного водопостачання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Ущільнення згону: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30 мм.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Поновлення сальникових ущільнень на вентилях/засувках: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50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Діаметр умовного проходу до 100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Заміна прокладок фланцевих з'єднань: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прокладок у фланцевих з'єднаннях діаметром до 100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Притирання арматури на місці: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Вентиль, діаметр умовного проходу до 25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рідше 1 раз на 4 роки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Очищення фільтра: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Зовнішнім діаметром труб до 50 мм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1.5.4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Водовідведення: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 xml:space="preserve">Санітарно-технічне обслуговування </w:t>
            </w:r>
            <w:proofErr w:type="spellStart"/>
            <w:r w:rsidRPr="00C40592">
              <w:rPr>
                <w:b/>
                <w:bCs/>
                <w:color w:val="000000"/>
              </w:rPr>
              <w:t>внутрішньобудинкових</w:t>
            </w:r>
            <w:proofErr w:type="spellEnd"/>
            <w:r w:rsidRPr="00C40592">
              <w:rPr>
                <w:b/>
                <w:bCs/>
                <w:color w:val="000000"/>
              </w:rPr>
              <w:t xml:space="preserve"> систем: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Проведення загальних та профілактичних оглядів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системи водовідведення.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Усунення засмічення каналізаційних випусків: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Усунення засмічення системи водовідведення, діаметр умовного проходу до 100 мм ( до 4 метрів 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Додавати на кожен наступний метр трубопроводу (понад 4 м)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Закріплення трубопроводів та приладів: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87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видалення кронштейна чи гачка, видалення пробки,  забивання нової пробки, встановлення нового кронштейна чи гачка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Підкарбування розтрубів та ущільнення стиків каналізаційних труб: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785334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</w:t>
            </w:r>
            <w:r w:rsidR="00AC7A7F" w:rsidRPr="00C40592">
              <w:rPr>
                <w:color w:val="000000"/>
              </w:rPr>
              <w:t>карбування</w:t>
            </w:r>
            <w:proofErr w:type="spellEnd"/>
            <w:r w:rsidR="00AC7A7F" w:rsidRPr="00C40592">
              <w:rPr>
                <w:color w:val="000000"/>
              </w:rPr>
              <w:t xml:space="preserve"> розтруба на стоянку системи водовідведення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1.5.5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Зливна каналізація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40592">
              <w:rPr>
                <w:b/>
                <w:color w:val="000000"/>
              </w:rPr>
              <w:t>Санітарно-технічне обслуговування систем зливної каналізації: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Проведення загальних та профілактичних оглядів: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систем зливної каналізації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Усунення засмічення зливної каналізації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 xml:space="preserve">1 раз на рік 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1.6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Дератизація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7853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необхідності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1.7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Дезінсекція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7853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За необхідності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1.8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Обслуговування димових та вентиляційних каналів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Не менше ніж 2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1.9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Технічне обслуговування мереж електропостачання та електрообладнання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Щоденно, цілодобово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1.9.1</w:t>
            </w: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Технічний огляд системи електропостачання житлового будинку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ввідно-розподільного пристрою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4 рази на рік</w:t>
            </w: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електропроводки і арматури в підвалах та інших приміщеннях (крім електрощитових)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стану освітлювальної арматури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4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електрощитової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4 рази на рік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1.9.2</w:t>
            </w: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Технічний огляд елементів електропостачання житлового будинку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Перевірка заземлення оболонки електрокабелю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1.9.3.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Заміна ламп розжарювання та ламп денного світла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перегорілої лампи розжарювання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розбитої лампи розжарювання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1.9.4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Заміна стінного або стельового патрону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 відкритій арматурі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При герметичній арматурі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1.9.5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Обслуговування і заміна вимикачів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Обслуговування вимикача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вимикача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1.9.6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Перевірка відкритої електропроводки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581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Огляд перевірка стану і кріплень, додаткова ізоляція або заміна ізоляції окремих місць.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 рази на рік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1.9.7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Вимірювання опору ізоляції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Вимірювання опору та запис показань приладу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6 років</w:t>
            </w:r>
          </w:p>
        </w:tc>
      </w:tr>
      <w:tr w:rsidR="00AC7A7F" w:rsidRPr="00C40592" w:rsidTr="00D979CF">
        <w:trPr>
          <w:trHeight w:val="566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1.9.8</w:t>
            </w:r>
          </w:p>
        </w:tc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Заміна запобіжників, автоматичних вимикачів, ключів і кнопок керування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Заміна запобіжників (некаліброваних)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 раз на рік</w:t>
            </w:r>
          </w:p>
        </w:tc>
      </w:tr>
      <w:tr w:rsidR="00AC7A7F" w:rsidRPr="00C40592" w:rsidTr="00D979CF">
        <w:trPr>
          <w:trHeight w:val="305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1.9.9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0592">
              <w:rPr>
                <w:b/>
                <w:bCs/>
                <w:color w:val="000000"/>
              </w:rPr>
              <w:t>Зняття показників приладу обліку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12 раз на рік</w:t>
            </w:r>
          </w:p>
        </w:tc>
      </w:tr>
      <w:tr w:rsidR="00AC7A7F" w:rsidRPr="00C40592" w:rsidTr="00D979CF">
        <w:trPr>
          <w:trHeight w:val="365"/>
        </w:trPr>
        <w:tc>
          <w:tcPr>
            <w:tcW w:w="1037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C40592">
              <w:rPr>
                <w:b/>
                <w:bCs/>
                <w:i/>
                <w:color w:val="000000"/>
              </w:rPr>
              <w:t>2.  Поточний ремонт спільного майна багатоквартирного будинку, в тому числі:</w:t>
            </w:r>
          </w:p>
        </w:tc>
      </w:tr>
      <w:tr w:rsidR="00AC7A7F" w:rsidRPr="00C40592" w:rsidTr="00D979CF">
        <w:trPr>
          <w:trHeight w:val="1452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2.1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поточний ремонт конструктивних елементів, </w:t>
            </w:r>
            <w:proofErr w:type="spellStart"/>
            <w:r w:rsidRPr="00C40592">
              <w:rPr>
                <w:color w:val="000000"/>
              </w:rPr>
              <w:t>внутрішньобудинкових</w:t>
            </w:r>
            <w:proofErr w:type="spellEnd"/>
            <w:r w:rsidRPr="00C40592">
              <w:rPr>
                <w:color w:val="000000"/>
              </w:rPr>
              <w:t xml:space="preserve"> систем водопостачання, водовідведення, теплопостачання та зливової каналізації і технічних пристроїв будинків та елементів зовнішнього упорядження.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Відповідно до вимог діючого законодавства</w:t>
            </w:r>
          </w:p>
        </w:tc>
      </w:tr>
      <w:tr w:rsidR="00AC7A7F" w:rsidRPr="00C40592" w:rsidTr="00D979CF">
        <w:trPr>
          <w:trHeight w:val="595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lastRenderedPageBreak/>
              <w:t>2.2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поточний ремонт мереж електропостачання та електрообладнання.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Відповідно до вимог діючого законодавства</w:t>
            </w:r>
          </w:p>
        </w:tc>
      </w:tr>
      <w:tr w:rsidR="00AC7A7F" w:rsidRPr="00C40592" w:rsidTr="00D979CF">
        <w:trPr>
          <w:trHeight w:val="552"/>
        </w:trPr>
        <w:tc>
          <w:tcPr>
            <w:tcW w:w="1037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</w:rPr>
            </w:pPr>
            <w:r w:rsidRPr="00C40592">
              <w:rPr>
                <w:b/>
                <w:bCs/>
                <w:i/>
                <w:color w:val="000000"/>
              </w:rPr>
              <w:t>3.  Оплата послуг щодо енергопостачання спільного майна багатоквартирного будинку, в тому числі:</w:t>
            </w:r>
          </w:p>
        </w:tc>
      </w:tr>
      <w:tr w:rsidR="00AC7A7F" w:rsidRPr="00C40592" w:rsidTr="00D979CF">
        <w:trPr>
          <w:trHeight w:val="29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3.1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 xml:space="preserve"> освітлення місць загального користування і підвалів</w:t>
            </w:r>
            <w:r w:rsidR="00F83167">
              <w:rPr>
                <w:color w:val="000000"/>
              </w:rPr>
              <w:t xml:space="preserve"> (за наявності)</w:t>
            </w:r>
            <w:r w:rsidRPr="00C40592">
              <w:rPr>
                <w:color w:val="000000"/>
              </w:rPr>
              <w:t>;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Постійно</w:t>
            </w:r>
          </w:p>
        </w:tc>
      </w:tr>
      <w:tr w:rsidR="00AC7A7F" w:rsidRPr="00C40592" w:rsidTr="00D979CF">
        <w:trPr>
          <w:trHeight w:val="305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3.2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0592">
              <w:rPr>
                <w:color w:val="000000"/>
              </w:rPr>
              <w:t>енергопостачання ліфтів.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0592">
              <w:rPr>
                <w:color w:val="000000"/>
              </w:rPr>
              <w:t>Постійно</w:t>
            </w:r>
          </w:p>
        </w:tc>
      </w:tr>
      <w:tr w:rsidR="00AC7A7F" w:rsidRPr="00C40592" w:rsidTr="00D979CF">
        <w:trPr>
          <w:trHeight w:val="305"/>
        </w:trPr>
        <w:tc>
          <w:tcPr>
            <w:tcW w:w="6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 w:rsidRPr="00C40592">
              <w:rPr>
                <w:b/>
                <w:bCs/>
                <w:i/>
                <w:color w:val="000000"/>
              </w:rPr>
              <w:t>4.  Винагорода управителю.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C7A7F" w:rsidRPr="00C40592" w:rsidRDefault="00AC7A7F" w:rsidP="00D979C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</w:tbl>
    <w:p w:rsidR="002B7CD4" w:rsidRDefault="002B7CD4" w:rsidP="001C79E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79ED" w:rsidRDefault="001C79ED" w:rsidP="001C79E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9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3.2. </w:t>
      </w:r>
      <w:r w:rsidRPr="001C7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огляду об’єктів конкурсу та доступ до них:</w:t>
      </w:r>
    </w:p>
    <w:p w:rsidR="001C79ED" w:rsidRPr="001C79ED" w:rsidRDefault="001C79ED" w:rsidP="001C79E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9ED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 об’єктів конкурсу та доступ до них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7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проводитись </w:t>
      </w:r>
      <w:r w:rsidRPr="0043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F279D9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4307E7" w:rsidRPr="00422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9D9">
        <w:rPr>
          <w:rFonts w:ascii="Times New Roman" w:eastAsia="Times New Roman" w:hAnsi="Times New Roman" w:cs="Times New Roman"/>
          <w:color w:val="000000"/>
          <w:sz w:val="28"/>
          <w:szCs w:val="28"/>
        </w:rPr>
        <w:t>червня</w:t>
      </w:r>
      <w:r w:rsidR="004307E7" w:rsidRPr="00422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4171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43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по </w:t>
      </w:r>
      <w:r w:rsidR="00F279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10 </w:t>
      </w:r>
      <w:proofErr w:type="spellStart"/>
      <w:r w:rsidR="00F279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липня</w:t>
      </w:r>
      <w:proofErr w:type="spellEnd"/>
      <w:r w:rsidR="00694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  <w:r w:rsidRPr="0043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з10.00 до 16.00 години.</w:t>
      </w:r>
    </w:p>
    <w:p w:rsidR="001C79ED" w:rsidRDefault="001C79ED" w:rsidP="002B7CD4">
      <w:pPr>
        <w:pStyle w:val="login-buttonuser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C79ED">
        <w:rPr>
          <w:color w:val="000000"/>
          <w:sz w:val="28"/>
          <w:szCs w:val="28"/>
        </w:rPr>
        <w:t xml:space="preserve">Учасники конкурсу, що бажають взяти участь в огляді об’єктів конкурсу, письмово повідомляють про це </w:t>
      </w:r>
      <w:r>
        <w:rPr>
          <w:color w:val="000000"/>
          <w:sz w:val="28"/>
          <w:szCs w:val="28"/>
        </w:rPr>
        <w:t xml:space="preserve">начальника відділу житлово-комунального господарства </w:t>
      </w:r>
      <w:proofErr w:type="spellStart"/>
      <w:r>
        <w:rPr>
          <w:color w:val="000000"/>
          <w:sz w:val="28"/>
          <w:szCs w:val="28"/>
        </w:rPr>
        <w:t>Докай</w:t>
      </w:r>
      <w:proofErr w:type="spellEnd"/>
      <w:r>
        <w:rPr>
          <w:color w:val="000000"/>
          <w:sz w:val="28"/>
          <w:szCs w:val="28"/>
        </w:rPr>
        <w:t xml:space="preserve"> О.А.</w:t>
      </w:r>
      <w:r w:rsidRPr="001C79ED">
        <w:rPr>
          <w:color w:val="000000"/>
          <w:sz w:val="28"/>
          <w:szCs w:val="28"/>
        </w:rPr>
        <w:t xml:space="preserve"> шляхом направлення повідомлення на офіційну електронну адресу </w:t>
      </w:r>
      <w:hyperlink r:id="rId5" w:history="1">
        <w:r w:rsidR="00352716" w:rsidRPr="00C73B35">
          <w:rPr>
            <w:rStyle w:val="a6"/>
            <w:sz w:val="28"/>
            <w:szCs w:val="28"/>
            <w:lang w:val="en-US"/>
          </w:rPr>
          <w:t>jkg</w:t>
        </w:r>
        <w:r w:rsidR="00352716" w:rsidRPr="00C73B35">
          <w:rPr>
            <w:rStyle w:val="a6"/>
            <w:sz w:val="28"/>
            <w:szCs w:val="28"/>
            <w:lang w:val="ru-RU"/>
          </w:rPr>
          <w:t>@</w:t>
        </w:r>
        <w:r w:rsidR="00352716" w:rsidRPr="00C73B35">
          <w:rPr>
            <w:rStyle w:val="a6"/>
            <w:sz w:val="28"/>
            <w:szCs w:val="28"/>
            <w:lang w:val="en-US"/>
          </w:rPr>
          <w:t>bucha</w:t>
        </w:r>
        <w:r w:rsidR="00352716" w:rsidRPr="00C73B35">
          <w:rPr>
            <w:rStyle w:val="a6"/>
            <w:sz w:val="28"/>
            <w:szCs w:val="28"/>
            <w:lang w:val="ru-RU"/>
          </w:rPr>
          <w:t>-</w:t>
        </w:r>
        <w:r w:rsidR="00352716" w:rsidRPr="00C73B35">
          <w:rPr>
            <w:rStyle w:val="a6"/>
            <w:sz w:val="28"/>
            <w:szCs w:val="28"/>
            <w:lang w:val="en-US"/>
          </w:rPr>
          <w:t>rada</w:t>
        </w:r>
        <w:r w:rsidR="00352716" w:rsidRPr="00C73B35">
          <w:rPr>
            <w:rStyle w:val="a6"/>
            <w:sz w:val="28"/>
            <w:szCs w:val="28"/>
            <w:lang w:val="ru-RU"/>
          </w:rPr>
          <w:t>.</w:t>
        </w:r>
        <w:r w:rsidR="00352716" w:rsidRPr="00C73B35">
          <w:rPr>
            <w:rStyle w:val="a6"/>
            <w:sz w:val="28"/>
            <w:szCs w:val="28"/>
            <w:lang w:val="en-US"/>
          </w:rPr>
          <w:t>gov</w:t>
        </w:r>
        <w:r w:rsidR="00352716" w:rsidRPr="00C73B35">
          <w:rPr>
            <w:rStyle w:val="a6"/>
            <w:sz w:val="28"/>
            <w:szCs w:val="28"/>
            <w:lang w:val="ru-RU"/>
          </w:rPr>
          <w:t>.</w:t>
        </w:r>
        <w:proofErr w:type="spellStart"/>
        <w:r w:rsidR="00352716" w:rsidRPr="00C73B35">
          <w:rPr>
            <w:rStyle w:val="a6"/>
            <w:sz w:val="28"/>
            <w:szCs w:val="28"/>
            <w:lang w:val="en-US"/>
          </w:rPr>
          <w:t>ua</w:t>
        </w:r>
        <w:proofErr w:type="spellEnd"/>
      </w:hyperlink>
      <w:r w:rsidR="00352716" w:rsidRPr="00352716">
        <w:rPr>
          <w:color w:val="000000"/>
          <w:sz w:val="28"/>
          <w:szCs w:val="28"/>
          <w:lang w:val="ru-RU"/>
        </w:rPr>
        <w:t xml:space="preserve"> </w:t>
      </w:r>
      <w:r w:rsidR="00352716">
        <w:rPr>
          <w:color w:val="000000"/>
          <w:sz w:val="28"/>
          <w:szCs w:val="28"/>
        </w:rPr>
        <w:t xml:space="preserve"> </w:t>
      </w:r>
      <w:r w:rsidR="002B7CD4">
        <w:rPr>
          <w:b/>
          <w:bCs/>
          <w:color w:val="646464"/>
          <w:sz w:val="28"/>
          <w:szCs w:val="28"/>
        </w:rPr>
        <w:t>н</w:t>
      </w:r>
      <w:r w:rsidRPr="001C79ED">
        <w:rPr>
          <w:color w:val="000000"/>
          <w:sz w:val="28"/>
          <w:szCs w:val="28"/>
        </w:rPr>
        <w:t>е пізніше ніж за два робочі дні до огляду.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7CD4" w:rsidTr="002B7CD4">
        <w:tc>
          <w:tcPr>
            <w:tcW w:w="4785" w:type="dxa"/>
          </w:tcPr>
          <w:p w:rsidR="002B7CD4" w:rsidRPr="002B7CD4" w:rsidRDefault="002B7CD4" w:rsidP="002B7CD4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B7CD4">
              <w:rPr>
                <w:b/>
                <w:bCs/>
              </w:rPr>
              <w:t>Номер і назва об’єкту конкурсу</w:t>
            </w:r>
          </w:p>
        </w:tc>
        <w:tc>
          <w:tcPr>
            <w:tcW w:w="4786" w:type="dxa"/>
          </w:tcPr>
          <w:p w:rsidR="002B7CD4" w:rsidRPr="002B7CD4" w:rsidRDefault="002B7CD4" w:rsidP="002B7CD4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B7CD4">
              <w:rPr>
                <w:b/>
                <w:bCs/>
              </w:rPr>
              <w:t>Кількість будинків</w:t>
            </w:r>
          </w:p>
        </w:tc>
      </w:tr>
      <w:tr w:rsidR="002B7CD4" w:rsidTr="002B7CD4">
        <w:tc>
          <w:tcPr>
            <w:tcW w:w="4785" w:type="dxa"/>
          </w:tcPr>
          <w:p w:rsidR="002B7CD4" w:rsidRPr="002B7CD4" w:rsidRDefault="002B7CD4" w:rsidP="002B7CD4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2B7CD4">
              <w:rPr>
                <w:b/>
                <w:bCs/>
              </w:rPr>
              <w:t>ЛОТ №1</w:t>
            </w:r>
          </w:p>
        </w:tc>
        <w:tc>
          <w:tcPr>
            <w:tcW w:w="4786" w:type="dxa"/>
          </w:tcPr>
          <w:p w:rsidR="002B7CD4" w:rsidRPr="00D43D80" w:rsidRDefault="00D43D80" w:rsidP="004F6A7F">
            <w:pPr>
              <w:pStyle w:val="login-buttonuser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D43D80">
              <w:rPr>
                <w:b/>
                <w:bCs/>
              </w:rPr>
              <w:t xml:space="preserve">Група із </w:t>
            </w:r>
            <w:r w:rsidR="00492F98">
              <w:rPr>
                <w:b/>
                <w:bCs/>
                <w:lang w:val="en-US"/>
              </w:rPr>
              <w:t>9</w:t>
            </w:r>
            <w:bookmarkStart w:id="0" w:name="_GoBack"/>
            <w:bookmarkEnd w:id="0"/>
            <w:r w:rsidR="00694171">
              <w:rPr>
                <w:b/>
                <w:bCs/>
              </w:rPr>
              <w:t xml:space="preserve"> </w:t>
            </w:r>
            <w:r w:rsidR="002B7CD4" w:rsidRPr="00D43D80">
              <w:rPr>
                <w:b/>
                <w:bCs/>
              </w:rPr>
              <w:t>будинків</w:t>
            </w:r>
          </w:p>
        </w:tc>
      </w:tr>
    </w:tbl>
    <w:p w:rsidR="002B7CD4" w:rsidRPr="002B7CD4" w:rsidRDefault="002B7CD4" w:rsidP="002B7CD4">
      <w:pPr>
        <w:pStyle w:val="login-buttonuser"/>
        <w:spacing w:before="0" w:beforeAutospacing="0" w:after="0" w:afterAutospacing="0"/>
        <w:contextualSpacing/>
        <w:rPr>
          <w:b/>
          <w:bCs/>
          <w:color w:val="646464"/>
        </w:rPr>
      </w:pPr>
    </w:p>
    <w:p w:rsidR="00BB13B8" w:rsidRDefault="00803FE6" w:rsidP="002B7CD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Технічна характеристика, н</w:t>
      </w:r>
      <w:r w:rsidR="001B06D1">
        <w:rPr>
          <w:b/>
          <w:color w:val="000000"/>
          <w:sz w:val="28"/>
          <w:szCs w:val="28"/>
        </w:rPr>
        <w:t>аявність та загальний  обсяг заборгованості співвласників за послуги з утримання будинків і споруд та прибудинкових територій</w:t>
      </w:r>
      <w:r w:rsidR="00CC2737">
        <w:rPr>
          <w:b/>
          <w:color w:val="000000"/>
          <w:sz w:val="28"/>
          <w:szCs w:val="28"/>
        </w:rPr>
        <w:t xml:space="preserve"> (додаток)</w:t>
      </w:r>
      <w:r w:rsidR="001B06D1">
        <w:rPr>
          <w:b/>
          <w:color w:val="000000"/>
          <w:sz w:val="28"/>
          <w:szCs w:val="28"/>
        </w:rPr>
        <w:t>.</w:t>
      </w:r>
    </w:p>
    <w:p w:rsidR="001B06D1" w:rsidRPr="001B06D1" w:rsidRDefault="001B06D1" w:rsidP="002B7CD4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  <w:sz w:val="28"/>
          <w:szCs w:val="28"/>
        </w:rPr>
      </w:pPr>
    </w:p>
    <w:p w:rsidR="00B65A1D" w:rsidRPr="00BB13B8" w:rsidRDefault="00B65A1D" w:rsidP="00B65A1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4. Критерії оцінки конкурсних пропозицій:</w:t>
      </w:r>
    </w:p>
    <w:p w:rsidR="00D122AA" w:rsidRPr="00D122AA" w:rsidRDefault="00D122AA" w:rsidP="00D122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22AA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Критерії оцінки конкурсних пропозицій. Конкурсні пропозиції учасників конкурсу оцінюються за наступною бальною системою:</w:t>
      </w:r>
    </w:p>
    <w:p w:rsidR="00D122AA" w:rsidRPr="00D122AA" w:rsidRDefault="00D122AA" w:rsidP="00D122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827"/>
      </w:tblGrid>
      <w:tr w:rsidR="00D122AA" w:rsidRPr="00D122AA" w:rsidTr="008E6896">
        <w:trPr>
          <w:trHeight w:val="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Критерій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Бали</w:t>
            </w:r>
          </w:p>
        </w:tc>
      </w:tr>
      <w:tr w:rsidR="00D122AA" w:rsidRPr="00D122AA" w:rsidTr="008E6896">
        <w:trPr>
          <w:trHeight w:val="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Ціна послуги, що включає відповідно до статті 12 Закону України «Про особливості здійснення права власності у багатоквартирному будинку», зокрема, витрати на утримання і проведення ремонту спільного майна у багатоквартирному будинку та його прибудинкової території, винагороду управителю з розрахунку на 1 м. кв. загальної площі об’єкта конкурсу.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Максимальна кількість балів – 35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Оцінювання пропозицій здійснюється по кожному будинку, що входить до об’єкту конкурсу, окремо.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Максимально можливу кількість балів щодо певного будинку (35 балів) отримує учасник, який запропонував найнижчу ціну послуги для цього будинку.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Бали інших учасників щодо цього ж будинку  розраховуються за формулою:</w:t>
            </w:r>
          </w:p>
          <w:p w:rsidR="00D122AA" w:rsidRPr="00D122AA" w:rsidRDefault="00D122AA" w:rsidP="00D122A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Бал 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bscript"/>
                <w:lang w:eastAsia="zh-CN"/>
              </w:rPr>
              <w:t>(n учасника)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= Ціна(мін.) : Ціна 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bscript"/>
                <w:lang w:eastAsia="zh-CN"/>
              </w:rPr>
              <w:t>(n учасника)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· 3</w:t>
            </w:r>
            <w:r w:rsidRPr="00D122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5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Де: Бал 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zh-CN"/>
              </w:rPr>
              <w:t>(n учасника)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 – кількість балів, що отримує n учасник;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lastRenderedPageBreak/>
              <w:t>Ціна(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zh-CN"/>
              </w:rPr>
              <w:t>мін)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 - найнижча ціна послуги для цього будинку, з запропонованих учасниками, грн.;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Ціна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zh-CN"/>
              </w:rPr>
              <w:t>(n учасника)</w:t>
            </w:r>
            <w:r w:rsidRPr="00D122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 – ціна послуги для цього ж будинку, запропонована n учасником, грн.</w:t>
            </w:r>
          </w:p>
        </w:tc>
      </w:tr>
      <w:tr w:rsidR="00D122AA" w:rsidRPr="00D122AA" w:rsidTr="008E6896">
        <w:trPr>
          <w:trHeight w:val="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Рівень забезпеченості учасника конкурсу матеріально-технічною базою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Максимальна кількість балів – 15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Оцінюється стан учасника конкурсу про наявність вантажного та спеціалізованого транспорту (вантажні автомобілі, автовишки, трактори та ін.) і </w:t>
            </w:r>
            <w:r w:rsidRPr="00D12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спеціалізованого обладнання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(</w:t>
            </w:r>
            <w:r w:rsidRPr="00D12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бульдозер, екскаватор та ін.),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комп’ютерної техніки, іншого обладнання, адміністративних та виробничих приміщень, програмного забезпечення, що підтверджують спроможність надавати послуги з управління, у повному обсязі,  будинкам, на які оголошено конкурс та на які учасник конкурсу подав відповідні конкурсні пропозиції, (з урахуванням відомостей щодо суб’єктів господарювання, пов’язаних відносинами контролю господарської діяльності з учасником в розумінні статті 1 Закону України «Про захист економічної конкуренції»).</w:t>
            </w:r>
          </w:p>
        </w:tc>
      </w:tr>
      <w:tr w:rsidR="00D122AA" w:rsidRPr="00D122AA" w:rsidTr="008E6896">
        <w:trPr>
          <w:trHeight w:val="1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Наявність персоналу, що відповідає кваліфікаційним вимогам до професій працівників та має 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необхідні знання і досвід (з урахуванням договорів щодо залучення співвиконавців)</w:t>
            </w:r>
          </w:p>
          <w:p w:rsidR="00D122AA" w:rsidRPr="00D122AA" w:rsidRDefault="00D122AA" w:rsidP="00D122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Максимальна кількість балів – 15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Оцінюється наявність персоналу відповідної кваліфікації, знання і досвід роботи працівників (з урахуванням договорів щодо залучення співвиконавців, що підтверджують спроможність надавати послуги з управління, у повному обсязі, будинкам на які оголошено конкурс та на які учасник конкурсу подав відповідні конкурсні пропозиції, та відомостей щодо суб’єктів господарювання, пов’язаних відносинами контролю господарської діяльності з учасником в розумінні статті 1 Закону України «Про захист економічної конкуренції»)</w:t>
            </w:r>
          </w:p>
        </w:tc>
      </w:tr>
      <w:tr w:rsidR="00D122AA" w:rsidRPr="00D122AA" w:rsidTr="008E6896">
        <w:trPr>
          <w:trHeight w:val="5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Фінансова спроможність учасника конкурсу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Максимальна кількість балів  – 15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Оцінюється наявність бухгалтерських та інших документів що підтверджують наявність фінансових ресурсів для забезпечення розрахунків за  надані послуги з управління багатоквартирним будинком (заробітна плата, податки, тощо), будинкам на які оголошено конкурс та на які учасник </w:t>
            </w: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конкурсу подав відповідні конкурсні пропозиції (з урахуванням відомостей щодо суб’єктів господарювання, пов’язаних відносинами контролю господарської діяльності з учасником в розумінні статті 1 Закону України «Про захист економічної конкуренції»).</w:t>
            </w:r>
          </w:p>
        </w:tc>
      </w:tr>
      <w:tr w:rsidR="00D122AA" w:rsidRPr="00D122AA" w:rsidTr="008E6896">
        <w:trPr>
          <w:trHeight w:val="83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Наявність досвіду роботи з надання послуг у сфері житлово-комунального господарства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Максимальна кількість балів – 20 балів.</w:t>
            </w:r>
          </w:p>
          <w:p w:rsidR="00D122AA" w:rsidRPr="00D122AA" w:rsidRDefault="00D122AA" w:rsidP="00D122A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2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Оцінюється наявність досвіду роботи учасника конкурсу з надання послуг у сфері житлово-комунального господарства (з урахуванням: досвіду надання  учасниками послуг згідно з переліком складових послуги з управління багатоквартирним будинком, зазначеним у п. 3 Документації, тривалості та географії надання послуг учасником конкурсу та досвіду засновників з урахуванням досвіду суб’єктів господарювання, пов’язаних відносинами контролю господарської діяльності з учасником в розумінні статті 1 Закону України «Про захист економічної конкуренції».</w:t>
            </w:r>
          </w:p>
        </w:tc>
      </w:tr>
    </w:tbl>
    <w:p w:rsidR="00D122AA" w:rsidRPr="00D122AA" w:rsidRDefault="00D122AA" w:rsidP="00D122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122AA" w:rsidRPr="00D122AA" w:rsidRDefault="00D122AA" w:rsidP="00D122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22AA">
        <w:rPr>
          <w:rFonts w:ascii="Times New Roman" w:eastAsia="Times New Roman" w:hAnsi="Times New Roman" w:cs="Times New Roman"/>
          <w:sz w:val="28"/>
          <w:szCs w:val="28"/>
          <w:lang w:eastAsia="zh-CN"/>
        </w:rPr>
        <w:t>За подані інші, крім передбачених Документацією, документи, що підтверджують досвід роботи з надання послуг у сфері житлово-комунального господарства, рівень кваліфікації, знання та досвід персоналу (нагороди, дипломи, свідоцтва, сертифікати, рекомендації тощо), можуть додатково нараховуватися до 5 балів.</w:t>
      </w:r>
    </w:p>
    <w:p w:rsidR="00D122AA" w:rsidRPr="00D122AA" w:rsidRDefault="00D122AA" w:rsidP="00D122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22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Максимальна сума балів дорівнює 100 - балам. </w:t>
      </w:r>
    </w:p>
    <w:p w:rsidR="00D122AA" w:rsidRPr="00D122AA" w:rsidRDefault="00D122AA" w:rsidP="00D122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5A1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EE468D">
        <w:rPr>
          <w:color w:val="000000"/>
          <w:sz w:val="28"/>
          <w:szCs w:val="28"/>
        </w:rPr>
        <w:t xml:space="preserve">У разі, якщо об’єкт конкурсу складається з групи будинків, оцінювання конкурсних пропозицій за критерієм «ціна послуги» здійснюється шляхом додавання балів, визначених окремо за кожним багатоквартирним будинком. </w:t>
      </w:r>
      <w:r w:rsidRPr="00BB13B8">
        <w:rPr>
          <w:color w:val="000000"/>
          <w:sz w:val="28"/>
          <w:szCs w:val="28"/>
        </w:rPr>
        <w:t>При цьому максимальна кількість балів під час оцінювання за кожним будинком не повинна перевищувати 50 балів.</w:t>
      </w:r>
    </w:p>
    <w:p w:rsidR="002B7CD4" w:rsidRP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5. Вимоги до конкурсних пропозицій та перелік документів, оригінали або копії яких подаються учасниками конкурсу для їх оцінювання.</w:t>
      </w:r>
    </w:p>
    <w:p w:rsid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 xml:space="preserve">5.1. Для участі у конкурсі учасники конкурсу подають заяву, у якій зазначають: </w:t>
      </w:r>
    </w:p>
    <w:p w:rsid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EE468D">
        <w:rPr>
          <w:color w:val="000000"/>
          <w:sz w:val="28"/>
          <w:szCs w:val="28"/>
        </w:rPr>
        <w:t>фізичні особи-підприємці</w:t>
      </w:r>
      <w:r w:rsidRPr="00BB13B8">
        <w:rPr>
          <w:color w:val="000000"/>
          <w:sz w:val="28"/>
          <w:szCs w:val="28"/>
        </w:rPr>
        <w:t> </w:t>
      </w:r>
      <w:r w:rsidRPr="00EE468D">
        <w:rPr>
          <w:color w:val="000000"/>
          <w:sz w:val="28"/>
          <w:szCs w:val="28"/>
        </w:rPr>
        <w:t>: прізвище, ім’я, по батькові, реєстраційний номер облікової картки платника податків</w:t>
      </w:r>
      <w:r w:rsidR="00EE468D">
        <w:rPr>
          <w:color w:val="000000"/>
          <w:sz w:val="28"/>
          <w:szCs w:val="28"/>
        </w:rPr>
        <w:t>;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юридичні особи – повне найменування, код за ЄДРПОУ.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 xml:space="preserve">До заяви додаються копії установчих документів, баланс,  довідка з обслуговуючого банку про відсутність (наявність) заборгованості за </w:t>
      </w:r>
      <w:r w:rsidRPr="00BB13B8">
        <w:rPr>
          <w:color w:val="000000"/>
          <w:sz w:val="28"/>
          <w:szCs w:val="28"/>
        </w:rPr>
        <w:lastRenderedPageBreak/>
        <w:t>кредитами тощо, оригінали або копії яких додаються учасниками конкурсу для підтвердження відповідності учасників кваліфікаційним вимогам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5.2. Конкурсна пропозиція подається щодо кожного об’єкта окремо.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У разі якщо об’єктом конкурсу визначено групу будинків, розрахунок ціни учасник конкурсу подає у складі конкурсної пропозиції на кожний багатоквартирний будинок, що входить до об’єкта конкурсу, окремо.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Конкурсна пропозиція пронумеровується, прошивається, підписується уповноваженою особою учасника конкурсу та скріплюється печаткою (за наявності) із зазначенням кількості сторінок.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Учасники конкурсу мають право, крім передбачених конкурсною документацією, подавати у складі конкурсної пропозиції також інші документи, що підтверджують досвід роботи з надання послуг у сфері житлово-комунального господарства, рівень кваліфікації, знання та досвід персоналу (нагороди, дипломи, свідоцтва, сертифікати, рекомендації тощо).</w:t>
      </w:r>
    </w:p>
    <w:p w:rsid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6. Способи, місце та кінцевий строк подання конкурсних пропозицій.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Конкурсна пропозиція подається особисто або через уповноважену належним чином особу чи надсилається поштою конкурсній комісії у запечатаному конверті, на якому зазначаються повне найменування і місце знаходження організатора та найменування (прізвище, ім’я, по батькові) учасника конкурсу, дата та час проведення конкурсу, контактні номери телефонів учасника конкурсу.</w:t>
      </w:r>
    </w:p>
    <w:p w:rsidR="00B65A1D" w:rsidRP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 xml:space="preserve">Адреса: </w:t>
      </w:r>
      <w:r w:rsidR="00EE468D">
        <w:rPr>
          <w:color w:val="000000"/>
          <w:sz w:val="28"/>
          <w:szCs w:val="28"/>
        </w:rPr>
        <w:t>08292</w:t>
      </w:r>
      <w:r w:rsidRPr="00BB13B8">
        <w:rPr>
          <w:color w:val="000000"/>
          <w:sz w:val="28"/>
          <w:szCs w:val="28"/>
        </w:rPr>
        <w:t xml:space="preserve">, м. </w:t>
      </w:r>
      <w:r w:rsidR="00EE468D">
        <w:rPr>
          <w:color w:val="000000"/>
          <w:sz w:val="28"/>
          <w:szCs w:val="28"/>
        </w:rPr>
        <w:t>Буча</w:t>
      </w:r>
      <w:r w:rsidRPr="00BB13B8">
        <w:rPr>
          <w:color w:val="000000"/>
          <w:sz w:val="28"/>
          <w:szCs w:val="28"/>
        </w:rPr>
        <w:t xml:space="preserve">, вул. </w:t>
      </w:r>
      <w:r w:rsidR="00EE468D">
        <w:rPr>
          <w:color w:val="000000"/>
          <w:sz w:val="28"/>
          <w:szCs w:val="28"/>
        </w:rPr>
        <w:t>Енергетиків</w:t>
      </w:r>
      <w:r w:rsidRPr="00BB13B8">
        <w:rPr>
          <w:color w:val="000000"/>
          <w:sz w:val="28"/>
          <w:szCs w:val="28"/>
        </w:rPr>
        <w:t xml:space="preserve">, </w:t>
      </w:r>
      <w:r w:rsidR="00EE468D">
        <w:rPr>
          <w:color w:val="000000"/>
          <w:sz w:val="28"/>
          <w:szCs w:val="28"/>
        </w:rPr>
        <w:t>12, І</w:t>
      </w:r>
      <w:r w:rsidRPr="00BB13B8">
        <w:rPr>
          <w:color w:val="000000"/>
          <w:sz w:val="28"/>
          <w:szCs w:val="28"/>
        </w:rPr>
        <w:t xml:space="preserve"> поверх, </w:t>
      </w:r>
      <w:r w:rsidR="00EE468D">
        <w:rPr>
          <w:color w:val="000000"/>
          <w:sz w:val="28"/>
          <w:szCs w:val="28"/>
        </w:rPr>
        <w:t>ЦНАП.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Кінцевий строк подання пропозицій –</w:t>
      </w:r>
      <w:r w:rsidRPr="00BB13B8">
        <w:rPr>
          <w:color w:val="000000"/>
          <w:sz w:val="28"/>
          <w:szCs w:val="28"/>
        </w:rPr>
        <w:t> до</w:t>
      </w: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="00F279D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13</w:t>
      </w:r>
      <w:r w:rsidR="004307E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F279D9">
        <w:rPr>
          <w:rStyle w:val="a4"/>
          <w:color w:val="000000"/>
          <w:sz w:val="28"/>
          <w:szCs w:val="28"/>
          <w:bdr w:val="none" w:sz="0" w:space="0" w:color="auto" w:frame="1"/>
        </w:rPr>
        <w:t>липня</w:t>
      </w:r>
      <w:r w:rsidR="004F6A7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2020</w:t>
      </w: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BB13B8">
        <w:rPr>
          <w:color w:val="000000"/>
          <w:sz w:val="28"/>
          <w:szCs w:val="28"/>
        </w:rPr>
        <w:t>року.</w:t>
      </w:r>
    </w:p>
    <w:p w:rsid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65A1D" w:rsidRPr="00785334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785334">
        <w:rPr>
          <w:rStyle w:val="a4"/>
          <w:color w:val="000000"/>
          <w:sz w:val="28"/>
          <w:szCs w:val="28"/>
          <w:bdr w:val="none" w:sz="0" w:space="0" w:color="auto" w:frame="1"/>
        </w:rPr>
        <w:t>7. Способи та місце отримання конкурсної документації.</w:t>
      </w:r>
    </w:p>
    <w:p w:rsid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785334">
        <w:rPr>
          <w:color w:val="000000"/>
          <w:sz w:val="28"/>
          <w:szCs w:val="28"/>
        </w:rPr>
        <w:t>Конкурсна документація надається особисто або надсилається поштою організатором конкурсу його  учаснику протягом трьох робочих днів після надходження від учасника заявки про участь у конкурсі.</w:t>
      </w:r>
    </w:p>
    <w:p w:rsidR="002B7CD4" w:rsidRPr="002B7CD4" w:rsidRDefault="002B7CD4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b w:val="0"/>
          <w:bCs w:val="0"/>
          <w:color w:val="000000"/>
          <w:sz w:val="28"/>
          <w:szCs w:val="28"/>
        </w:rPr>
      </w:pP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8. Місце, дата та час розкриття конвертів з конкурсними пропозиціями.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 xml:space="preserve">Місце – </w:t>
      </w:r>
      <w:r w:rsidRPr="004307E7">
        <w:rPr>
          <w:color w:val="000000"/>
          <w:sz w:val="28"/>
          <w:szCs w:val="28"/>
        </w:rPr>
        <w:t xml:space="preserve">зал  засідань </w:t>
      </w:r>
      <w:r w:rsidR="007B7931" w:rsidRPr="004307E7">
        <w:rPr>
          <w:color w:val="000000"/>
          <w:sz w:val="28"/>
          <w:szCs w:val="28"/>
        </w:rPr>
        <w:t xml:space="preserve">Бучанської </w:t>
      </w:r>
      <w:r w:rsidRPr="004307E7">
        <w:rPr>
          <w:color w:val="000000"/>
          <w:sz w:val="28"/>
          <w:szCs w:val="28"/>
        </w:rPr>
        <w:t>міської ради (</w:t>
      </w:r>
      <w:r w:rsidRPr="00BB13B8">
        <w:rPr>
          <w:color w:val="000000"/>
          <w:sz w:val="28"/>
          <w:szCs w:val="28"/>
        </w:rPr>
        <w:t>місто</w:t>
      </w:r>
      <w:r w:rsidR="00EE468D" w:rsidRPr="00EE468D">
        <w:rPr>
          <w:color w:val="000000"/>
          <w:sz w:val="28"/>
          <w:szCs w:val="28"/>
        </w:rPr>
        <w:t xml:space="preserve"> </w:t>
      </w:r>
      <w:r w:rsidR="00EE468D">
        <w:rPr>
          <w:color w:val="000000"/>
          <w:sz w:val="28"/>
          <w:szCs w:val="28"/>
        </w:rPr>
        <w:t>Буча</w:t>
      </w:r>
      <w:r w:rsidR="00EE468D" w:rsidRPr="00BB13B8">
        <w:rPr>
          <w:color w:val="000000"/>
          <w:sz w:val="28"/>
          <w:szCs w:val="28"/>
        </w:rPr>
        <w:t xml:space="preserve">, вул. </w:t>
      </w:r>
      <w:r w:rsidR="00EE468D">
        <w:rPr>
          <w:color w:val="000000"/>
          <w:sz w:val="28"/>
          <w:szCs w:val="28"/>
        </w:rPr>
        <w:t>Енергетиків</w:t>
      </w:r>
      <w:r w:rsidR="00EE468D" w:rsidRPr="00BB13B8">
        <w:rPr>
          <w:color w:val="000000"/>
          <w:sz w:val="28"/>
          <w:szCs w:val="28"/>
        </w:rPr>
        <w:t xml:space="preserve">, </w:t>
      </w:r>
      <w:r w:rsidR="00EE468D">
        <w:rPr>
          <w:color w:val="000000"/>
          <w:sz w:val="28"/>
          <w:szCs w:val="28"/>
        </w:rPr>
        <w:t>12</w:t>
      </w:r>
      <w:r w:rsidR="007B7931">
        <w:rPr>
          <w:color w:val="000000"/>
          <w:sz w:val="28"/>
          <w:szCs w:val="28"/>
        </w:rPr>
        <w:t>, 1 поверх</w:t>
      </w:r>
      <w:r w:rsidRPr="00BB13B8">
        <w:rPr>
          <w:color w:val="000000"/>
          <w:sz w:val="28"/>
          <w:szCs w:val="28"/>
        </w:rPr>
        <w:t>)</w:t>
      </w:r>
    </w:p>
    <w:p w:rsidR="00B65A1D" w:rsidRPr="00EE468D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B13B8">
        <w:rPr>
          <w:rStyle w:val="a4"/>
          <w:color w:val="000000"/>
          <w:sz w:val="28"/>
          <w:szCs w:val="28"/>
          <w:bdr w:val="none" w:sz="0" w:space="0" w:color="auto" w:frame="1"/>
        </w:rPr>
        <w:t>Дата та час – </w:t>
      </w:r>
      <w:r w:rsidR="00F279D9">
        <w:rPr>
          <w:rStyle w:val="a4"/>
          <w:color w:val="000000"/>
          <w:sz w:val="28"/>
          <w:szCs w:val="28"/>
          <w:bdr w:val="none" w:sz="0" w:space="0" w:color="auto" w:frame="1"/>
          <w:lang w:val="ru-RU"/>
        </w:rPr>
        <w:t>15</w:t>
      </w:r>
      <w:r w:rsidR="00422F8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F279D9">
        <w:rPr>
          <w:rStyle w:val="a4"/>
          <w:color w:val="000000"/>
          <w:sz w:val="28"/>
          <w:szCs w:val="28"/>
          <w:bdr w:val="none" w:sz="0" w:space="0" w:color="auto" w:frame="1"/>
        </w:rPr>
        <w:t>липня</w:t>
      </w:r>
      <w:r w:rsidR="004F6A7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2020</w:t>
      </w:r>
      <w:r w:rsidR="00F84001" w:rsidRPr="004307E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року,</w:t>
      </w:r>
      <w:r w:rsidR="004307E7" w:rsidRPr="004307E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о  14</w:t>
      </w:r>
      <w:r w:rsidR="00F84001" w:rsidRPr="004307E7">
        <w:rPr>
          <w:rStyle w:val="a4"/>
          <w:color w:val="000000"/>
          <w:sz w:val="28"/>
          <w:szCs w:val="28"/>
          <w:bdr w:val="none" w:sz="0" w:space="0" w:color="auto" w:frame="1"/>
        </w:rPr>
        <w:t>:00 годин</w:t>
      </w:r>
      <w:r w:rsidR="004307E7" w:rsidRPr="004307E7">
        <w:rPr>
          <w:rStyle w:val="a4"/>
          <w:color w:val="000000"/>
          <w:sz w:val="28"/>
          <w:szCs w:val="28"/>
          <w:bdr w:val="none" w:sz="0" w:space="0" w:color="auto" w:frame="1"/>
        </w:rPr>
        <w:t>і</w:t>
      </w:r>
      <w:r w:rsidR="00F84001" w:rsidRPr="004307E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за К</w:t>
      </w:r>
      <w:r w:rsidRPr="004307E7">
        <w:rPr>
          <w:rStyle w:val="a4"/>
          <w:color w:val="000000"/>
          <w:sz w:val="28"/>
          <w:szCs w:val="28"/>
          <w:bdr w:val="none" w:sz="0" w:space="0" w:color="auto" w:frame="1"/>
        </w:rPr>
        <w:t>иївським часом.</w:t>
      </w:r>
    </w:p>
    <w:p w:rsidR="00EE468D" w:rsidRDefault="00EE468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65A1D" w:rsidRPr="00CA7C76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Примітка:</w:t>
      </w:r>
      <w:r w:rsidRPr="00BB13B8">
        <w:rPr>
          <w:color w:val="000000"/>
          <w:sz w:val="28"/>
          <w:szCs w:val="28"/>
        </w:rPr>
        <w:t> Договір про надання послуги строком на один рік від імені співвласників багатоквартирного будинку підписує уповноважена особа</w:t>
      </w:r>
      <w:r w:rsidR="007B7931">
        <w:rPr>
          <w:color w:val="000000"/>
          <w:sz w:val="28"/>
          <w:szCs w:val="28"/>
        </w:rPr>
        <w:t xml:space="preserve"> – </w:t>
      </w:r>
      <w:proofErr w:type="spellStart"/>
      <w:r w:rsidR="007B7931">
        <w:rPr>
          <w:color w:val="000000"/>
          <w:sz w:val="28"/>
          <w:szCs w:val="28"/>
        </w:rPr>
        <w:t>Шаправський</w:t>
      </w:r>
      <w:proofErr w:type="spellEnd"/>
      <w:r w:rsidR="007B7931">
        <w:rPr>
          <w:color w:val="000000"/>
          <w:sz w:val="28"/>
          <w:szCs w:val="28"/>
        </w:rPr>
        <w:t xml:space="preserve"> Т.О.</w:t>
      </w:r>
      <w:r w:rsidR="00CA7C76">
        <w:rPr>
          <w:color w:val="000000"/>
          <w:sz w:val="28"/>
          <w:szCs w:val="28"/>
        </w:rPr>
        <w:t xml:space="preserve"> </w:t>
      </w:r>
    </w:p>
    <w:p w:rsidR="00B65A1D" w:rsidRPr="00BB13B8" w:rsidRDefault="00B65A1D" w:rsidP="00EE468D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 w:rsidRPr="00BB13B8">
        <w:rPr>
          <w:color w:val="000000"/>
          <w:sz w:val="28"/>
          <w:szCs w:val="28"/>
        </w:rPr>
        <w:t>Умови договору про надання послуги не повинні відрізнятися від змісту конкурсної пропозиції (у тому числі ціни) переможця. Істотні умови договору не можуть змінюватися (коригуватися)  після його підписання.</w:t>
      </w:r>
    </w:p>
    <w:p w:rsidR="00E0387D" w:rsidRPr="004307E7" w:rsidRDefault="004307E7" w:rsidP="00EE46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Участь у конкурсі безкоштовна.</w:t>
      </w:r>
    </w:p>
    <w:sectPr w:rsidR="00E0387D" w:rsidRPr="004307E7" w:rsidSect="00E0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1D"/>
    <w:rsid w:val="00094451"/>
    <w:rsid w:val="001B06D1"/>
    <w:rsid w:val="001C79ED"/>
    <w:rsid w:val="002B7CD4"/>
    <w:rsid w:val="003133B9"/>
    <w:rsid w:val="00352716"/>
    <w:rsid w:val="00422F8C"/>
    <w:rsid w:val="004307E7"/>
    <w:rsid w:val="00470269"/>
    <w:rsid w:val="00485CD7"/>
    <w:rsid w:val="00492F98"/>
    <w:rsid w:val="004F6A7F"/>
    <w:rsid w:val="00504E04"/>
    <w:rsid w:val="00694171"/>
    <w:rsid w:val="00785334"/>
    <w:rsid w:val="007B7931"/>
    <w:rsid w:val="00803FE6"/>
    <w:rsid w:val="00992DE6"/>
    <w:rsid w:val="009B40E3"/>
    <w:rsid w:val="009D0FBA"/>
    <w:rsid w:val="00A23458"/>
    <w:rsid w:val="00AC7A7F"/>
    <w:rsid w:val="00B65A1D"/>
    <w:rsid w:val="00BB13B8"/>
    <w:rsid w:val="00CA7C76"/>
    <w:rsid w:val="00CC2737"/>
    <w:rsid w:val="00D122AA"/>
    <w:rsid w:val="00D43D80"/>
    <w:rsid w:val="00E0387D"/>
    <w:rsid w:val="00EE468D"/>
    <w:rsid w:val="00F279D9"/>
    <w:rsid w:val="00F83167"/>
    <w:rsid w:val="00F8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A1D"/>
    <w:rPr>
      <w:b/>
      <w:bCs/>
    </w:rPr>
  </w:style>
  <w:style w:type="character" w:customStyle="1" w:styleId="apple-converted-space">
    <w:name w:val="apple-converted-space"/>
    <w:basedOn w:val="a0"/>
    <w:rsid w:val="00B65A1D"/>
  </w:style>
  <w:style w:type="character" w:styleId="a5">
    <w:name w:val="Emphasis"/>
    <w:basedOn w:val="a0"/>
    <w:uiPriority w:val="20"/>
    <w:qFormat/>
    <w:rsid w:val="00B65A1D"/>
    <w:rPr>
      <w:i/>
      <w:iCs/>
    </w:rPr>
  </w:style>
  <w:style w:type="paragraph" w:customStyle="1" w:styleId="login-buttonuser">
    <w:name w:val="login-button__user"/>
    <w:basedOn w:val="a"/>
    <w:rsid w:val="001C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B7CD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B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A1D"/>
    <w:rPr>
      <w:b/>
      <w:bCs/>
    </w:rPr>
  </w:style>
  <w:style w:type="character" w:customStyle="1" w:styleId="apple-converted-space">
    <w:name w:val="apple-converted-space"/>
    <w:basedOn w:val="a0"/>
    <w:rsid w:val="00B65A1D"/>
  </w:style>
  <w:style w:type="character" w:styleId="a5">
    <w:name w:val="Emphasis"/>
    <w:basedOn w:val="a0"/>
    <w:uiPriority w:val="20"/>
    <w:qFormat/>
    <w:rsid w:val="00B65A1D"/>
    <w:rPr>
      <w:i/>
      <w:iCs/>
    </w:rPr>
  </w:style>
  <w:style w:type="paragraph" w:customStyle="1" w:styleId="login-buttonuser">
    <w:name w:val="login-button__user"/>
    <w:basedOn w:val="a"/>
    <w:rsid w:val="001C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B7CD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B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g@buch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10923</Words>
  <Characters>6227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2019-06-04T12:12:00Z</cp:lastPrinted>
  <dcterms:created xsi:type="dcterms:W3CDTF">2020-04-13T12:20:00Z</dcterms:created>
  <dcterms:modified xsi:type="dcterms:W3CDTF">2020-06-09T06:53:00Z</dcterms:modified>
</cp:coreProperties>
</file>