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5A" w:rsidRPr="00F53F5A" w:rsidRDefault="00F53F5A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F53F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Аналіз регуляторного впливу</w:t>
      </w:r>
      <w:r w:rsidR="003C12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53F5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до проекту рішення міської ради </w:t>
      </w:r>
    </w:p>
    <w:p w:rsidR="003C128F" w:rsidRDefault="003C128F" w:rsidP="003C128F">
      <w:pPr>
        <w:spacing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3C128F" w:rsidRDefault="00301708" w:rsidP="003C128F">
      <w:pPr>
        <w:spacing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uk-UA" w:eastAsia="ru-RU"/>
        </w:rPr>
      </w:pPr>
      <w:r w:rsidRPr="00301708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«Про затвердження Положення про розміщення об’єктів зовнішньої реклами у місті Буча»</w:t>
      </w:r>
    </w:p>
    <w:p w:rsidR="00301708" w:rsidRPr="00F53F5A" w:rsidRDefault="00301708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Default="00F53F5A" w:rsidP="003C128F">
      <w:pPr>
        <w:tabs>
          <w:tab w:val="left" w:pos="540"/>
        </w:tabs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sz w:val="24"/>
          <w:lang w:val="uk-UA" w:eastAsia="ru-RU"/>
        </w:rPr>
        <w:t xml:space="preserve">Аналіз регуляторного впливу проекту рішення Бучанської міської ради </w:t>
      </w:r>
      <w:r w:rsidR="00301708" w:rsidRPr="00301708">
        <w:rPr>
          <w:rFonts w:ascii="Times New Roman" w:eastAsia="Times New Roman" w:hAnsi="Times New Roman"/>
          <w:sz w:val="24"/>
          <w:lang w:val="uk-UA" w:eastAsia="ru-RU"/>
        </w:rPr>
        <w:t>«Про затвердження Положення про розміщення об’єктів зовнішньої реклами у місті Буча»</w:t>
      </w:r>
      <w:r w:rsidRPr="00F53F5A">
        <w:rPr>
          <w:rFonts w:ascii="Times New Roman" w:eastAsia="Times New Roman" w:hAnsi="Times New Roman"/>
          <w:sz w:val="24"/>
          <w:lang w:val="uk-UA" w:eastAsia="ru-RU"/>
        </w:rPr>
        <w:t xml:space="preserve"> підготовлено згідно з вимогами Закону України «Про засади державної регуляторної політики у сфері господарської діяльності», Методики проведення аналізу впливу регуляторного акта, затвердженої постановою Кабінету Міністрів України від 11.03.04 №308.</w:t>
      </w:r>
    </w:p>
    <w:p w:rsidR="003C128F" w:rsidRPr="00F53F5A" w:rsidRDefault="003C128F" w:rsidP="003C128F">
      <w:pPr>
        <w:tabs>
          <w:tab w:val="left" w:pos="540"/>
        </w:tabs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1. Визначення проблеми, яку передбачається розв'язати шляхом державного регулювання.</w:t>
      </w:r>
    </w:p>
    <w:p w:rsidR="003F0198" w:rsidRDefault="005C47CC" w:rsidP="002A495E">
      <w:pPr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  <w:r>
        <w:rPr>
          <w:rFonts w:ascii="Times New Roman" w:eastAsia="Times New Roman" w:hAnsi="Times New Roman"/>
          <w:sz w:val="24"/>
          <w:lang w:val="uk-UA" w:eastAsia="ru-RU"/>
        </w:rPr>
        <w:t xml:space="preserve">Правила розміщення об‘єктів зовнішньої реклами у </w:t>
      </w:r>
      <w:proofErr w:type="spellStart"/>
      <w:r>
        <w:rPr>
          <w:rFonts w:ascii="Times New Roman" w:eastAsia="Times New Roman" w:hAnsi="Times New Roman"/>
          <w:sz w:val="24"/>
          <w:lang w:val="uk-UA" w:eastAsia="ru-RU"/>
        </w:rPr>
        <w:t>м.Буча</w:t>
      </w:r>
      <w:proofErr w:type="spellEnd"/>
      <w:r w:rsidR="000A1567">
        <w:rPr>
          <w:rFonts w:ascii="Times New Roman" w:eastAsia="Times New Roman" w:hAnsi="Times New Roman"/>
          <w:sz w:val="24"/>
          <w:lang w:val="uk-UA" w:eastAsia="ru-RU"/>
        </w:rPr>
        <w:t xml:space="preserve"> (надалі – ОЗР)</w:t>
      </w:r>
      <w:r>
        <w:rPr>
          <w:rFonts w:ascii="Times New Roman" w:eastAsia="Times New Roman" w:hAnsi="Times New Roman"/>
          <w:sz w:val="24"/>
          <w:lang w:val="uk-UA" w:eastAsia="ru-RU"/>
        </w:rPr>
        <w:t xml:space="preserve"> та положення про робочий орган з розміщення зовнішньої реклами, затверджені рішенням сесії Бучанської міської ради за № 1679-61-</w:t>
      </w:r>
      <w:r>
        <w:rPr>
          <w:rFonts w:ascii="Times New Roman" w:eastAsia="Times New Roman" w:hAnsi="Times New Roman"/>
          <w:sz w:val="24"/>
          <w:lang w:val="en-US" w:eastAsia="ru-RU"/>
        </w:rPr>
        <w:t>VI</w:t>
      </w:r>
      <w:r>
        <w:rPr>
          <w:rFonts w:ascii="Times New Roman" w:eastAsia="Times New Roman" w:hAnsi="Times New Roman"/>
          <w:sz w:val="24"/>
          <w:lang w:val="uk-UA" w:eastAsia="ru-RU"/>
        </w:rPr>
        <w:t xml:space="preserve"> від 28.01.2010р. потребують перегляду і внесення змін і доповнень, які б у повній мірі відповідали вимогам чинного законодавства у сфері розміщення об‘єктів зовнішньої реклами та справляння плати за її розміщення.</w:t>
      </w:r>
    </w:p>
    <w:p w:rsidR="004E4D48" w:rsidRDefault="00D00E75" w:rsidP="002A495E">
      <w:pPr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  <w:r w:rsidRPr="00D00E75">
        <w:rPr>
          <w:rFonts w:ascii="Times New Roman" w:eastAsia="Times New Roman" w:hAnsi="Times New Roman"/>
          <w:sz w:val="24"/>
          <w:lang w:val="uk-UA" w:eastAsia="ru-RU"/>
        </w:rPr>
        <w:t xml:space="preserve">Проект регуляторного акта </w:t>
      </w:r>
      <w:r>
        <w:rPr>
          <w:rFonts w:ascii="Times New Roman" w:eastAsia="Times New Roman" w:hAnsi="Times New Roman"/>
          <w:sz w:val="24"/>
          <w:lang w:val="uk-UA" w:eastAsia="ru-RU"/>
        </w:rPr>
        <w:t xml:space="preserve">розроблений з </w:t>
      </w:r>
      <w:r w:rsidRPr="00D00E75">
        <w:rPr>
          <w:rFonts w:ascii="Times New Roman" w:eastAsia="Times New Roman" w:hAnsi="Times New Roman"/>
          <w:sz w:val="24"/>
          <w:lang w:val="uk-UA" w:eastAsia="ru-RU"/>
        </w:rPr>
        <w:t xml:space="preserve">метою приведення у відповідність розміщення об’єктів зовнішньої реклами у </w:t>
      </w:r>
      <w:proofErr w:type="spellStart"/>
      <w:r w:rsidRPr="00D00E75">
        <w:rPr>
          <w:rFonts w:ascii="Times New Roman" w:eastAsia="Times New Roman" w:hAnsi="Times New Roman"/>
          <w:sz w:val="24"/>
          <w:lang w:val="uk-UA" w:eastAsia="ru-RU"/>
        </w:rPr>
        <w:t>м.Буча</w:t>
      </w:r>
      <w:proofErr w:type="spellEnd"/>
      <w:r w:rsidRPr="00D00E75">
        <w:rPr>
          <w:rFonts w:ascii="Times New Roman" w:eastAsia="Times New Roman" w:hAnsi="Times New Roman"/>
          <w:sz w:val="24"/>
          <w:lang w:val="uk-UA" w:eastAsia="ru-RU"/>
        </w:rPr>
        <w:t xml:space="preserve"> до Законів України «Про рекламу», «Про охорону культурної спадщини», «Про основи містобудування», «Про архітектурну діяльність», ДСТУ 3587-97 «Безпека дорожнього руху. Автомобільні дороги, вулиці та залізничні переїзди. Вимоги до експлуатаційного стану», постанов Кабінету Міністрів України «Про затвердження Типових правил розміщення зовнішньої реклами» та «Про затвердження Єдиних правил ремонту і утримання автомобільних доріг, вулиць, залізничних переїздів, правил користування ними та охоро</w:t>
      </w:r>
      <w:r w:rsidR="004E4D48">
        <w:rPr>
          <w:rFonts w:ascii="Times New Roman" w:eastAsia="Times New Roman" w:hAnsi="Times New Roman"/>
          <w:sz w:val="24"/>
          <w:lang w:val="uk-UA" w:eastAsia="ru-RU"/>
        </w:rPr>
        <w:t>ни» та інших нормативних актів.</w:t>
      </w:r>
    </w:p>
    <w:p w:rsidR="00D00E75" w:rsidRDefault="004E4D48" w:rsidP="002A495E">
      <w:pPr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  <w:r>
        <w:rPr>
          <w:rFonts w:ascii="Times New Roman" w:eastAsia="Times New Roman" w:hAnsi="Times New Roman"/>
          <w:sz w:val="24"/>
          <w:lang w:val="uk-UA" w:eastAsia="ru-RU"/>
        </w:rPr>
        <w:t>Р</w:t>
      </w:r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 xml:space="preserve">ішенням сесії Бучанської міської ради за № 1679-61-VI від 28.01.2010р. були затвердженні Правила розміщення об‘єктів зовнішньої реклами у </w:t>
      </w:r>
      <w:proofErr w:type="spellStart"/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>м.Буча</w:t>
      </w:r>
      <w:proofErr w:type="spellEnd"/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 xml:space="preserve"> та положення про робочий орган з розміщення зовнішньої реклами.</w:t>
      </w:r>
      <w:r>
        <w:rPr>
          <w:rFonts w:ascii="Times New Roman" w:eastAsia="Times New Roman" w:hAnsi="Times New Roman"/>
          <w:sz w:val="24"/>
          <w:lang w:val="uk-UA" w:eastAsia="ru-RU"/>
        </w:rPr>
        <w:t xml:space="preserve"> Але н</w:t>
      </w:r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 xml:space="preserve">а практиці склалася </w:t>
      </w:r>
      <w:r w:rsidR="000A61B8">
        <w:rPr>
          <w:rFonts w:ascii="Times New Roman" w:eastAsia="Times New Roman" w:hAnsi="Times New Roman"/>
          <w:sz w:val="24"/>
          <w:lang w:val="uk-UA" w:eastAsia="ru-RU"/>
        </w:rPr>
        <w:t xml:space="preserve">така </w:t>
      </w:r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>ситуація, що вказані П</w:t>
      </w:r>
      <w:r>
        <w:rPr>
          <w:rFonts w:ascii="Times New Roman" w:eastAsia="Times New Roman" w:hAnsi="Times New Roman"/>
          <w:sz w:val="24"/>
          <w:lang w:val="uk-UA" w:eastAsia="ru-RU"/>
        </w:rPr>
        <w:t>равила потребують змін в частинах</w:t>
      </w:r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 xml:space="preserve"> встановлення плати за право кор</w:t>
      </w:r>
      <w:r>
        <w:rPr>
          <w:rFonts w:ascii="Times New Roman" w:eastAsia="Times New Roman" w:hAnsi="Times New Roman"/>
          <w:sz w:val="24"/>
          <w:lang w:val="uk-UA" w:eastAsia="ru-RU"/>
        </w:rPr>
        <w:t>истування місцем розміщення ОЗР та</w:t>
      </w:r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 xml:space="preserve"> встановлення пріоритету на місце розміщення ОЗР та деталізації порядку і  умов демонтажу ОЗР.</w:t>
      </w:r>
    </w:p>
    <w:p w:rsidR="002A495E" w:rsidRDefault="002A495E" w:rsidP="002A495E">
      <w:pPr>
        <w:spacing w:line="240" w:lineRule="auto"/>
        <w:ind w:firstLine="709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2. Визначення цілей державного регулювання.</w:t>
      </w:r>
    </w:p>
    <w:p w:rsidR="00D00E75" w:rsidRDefault="00D00E75" w:rsidP="002A495E">
      <w:pPr>
        <w:spacing w:line="240" w:lineRule="auto"/>
        <w:ind w:firstLine="708"/>
        <w:rPr>
          <w:rFonts w:ascii="Times New Roman" w:eastAsia="Times New Roman" w:hAnsi="Times New Roman"/>
          <w:sz w:val="24"/>
          <w:lang w:val="uk-UA" w:eastAsia="ru-RU"/>
        </w:rPr>
      </w:pPr>
      <w:r w:rsidRPr="00D00E75">
        <w:rPr>
          <w:rFonts w:ascii="Times New Roman" w:eastAsia="Times New Roman" w:hAnsi="Times New Roman"/>
          <w:sz w:val="24"/>
          <w:lang w:val="uk-UA" w:eastAsia="ru-RU"/>
        </w:rPr>
        <w:t>Основною метою даного регулювання є створення сприятливих умов для розвитку інвестиційної діяльності, виконання вимог законодавчих та нормативних актів щодо порядку розміщення об</w:t>
      </w:r>
      <w:r>
        <w:rPr>
          <w:rFonts w:ascii="Times New Roman" w:eastAsia="Times New Roman" w:hAnsi="Times New Roman"/>
          <w:sz w:val="24"/>
          <w:lang w:val="uk-UA" w:eastAsia="ru-RU"/>
        </w:rPr>
        <w:t>‘</w:t>
      </w:r>
      <w:r w:rsidRPr="00D00E75">
        <w:rPr>
          <w:rFonts w:ascii="Times New Roman" w:eastAsia="Times New Roman" w:hAnsi="Times New Roman"/>
          <w:sz w:val="24"/>
          <w:lang w:val="uk-UA" w:eastAsia="ru-RU"/>
        </w:rPr>
        <w:t xml:space="preserve">єктів зовнішньої реклами, упорядкування плати за право користування місцем розташування в залежності від обраного місця розташування  та виду рекламного засобу, умов демонтажу ОЗР. </w:t>
      </w:r>
    </w:p>
    <w:p w:rsidR="00D00E75" w:rsidRPr="00D00E75" w:rsidRDefault="00D00E75" w:rsidP="002A495E">
      <w:pPr>
        <w:spacing w:line="240" w:lineRule="auto"/>
        <w:ind w:firstLine="708"/>
        <w:rPr>
          <w:rFonts w:ascii="Times New Roman" w:eastAsia="Times New Roman" w:hAnsi="Times New Roman"/>
          <w:sz w:val="24"/>
          <w:lang w:val="uk-UA" w:eastAsia="ru-RU"/>
        </w:rPr>
      </w:pPr>
      <w:r w:rsidRPr="00D00E75">
        <w:rPr>
          <w:rFonts w:ascii="Times New Roman" w:eastAsia="Times New Roman" w:hAnsi="Times New Roman"/>
          <w:sz w:val="24"/>
          <w:lang w:val="uk-UA" w:eastAsia="ru-RU"/>
        </w:rPr>
        <w:t>Цілями регулювання є:</w:t>
      </w:r>
    </w:p>
    <w:p w:rsidR="00D00E75" w:rsidRPr="004B7DC1" w:rsidRDefault="00D00E75" w:rsidP="002A495E">
      <w:pPr>
        <w:pStyle w:val="a3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lang w:val="uk-UA" w:eastAsia="ru-RU"/>
        </w:rPr>
      </w:pPr>
      <w:r w:rsidRPr="004B7DC1">
        <w:rPr>
          <w:rFonts w:ascii="Times New Roman" w:eastAsia="Times New Roman" w:hAnsi="Times New Roman"/>
          <w:sz w:val="24"/>
          <w:lang w:val="uk-UA" w:eastAsia="ru-RU"/>
        </w:rPr>
        <w:t xml:space="preserve">встановлення економічно </w:t>
      </w:r>
      <w:proofErr w:type="spellStart"/>
      <w:r w:rsidRPr="004B7DC1">
        <w:rPr>
          <w:rFonts w:ascii="Times New Roman" w:eastAsia="Times New Roman" w:hAnsi="Times New Roman"/>
          <w:sz w:val="24"/>
          <w:lang w:val="uk-UA" w:eastAsia="ru-RU"/>
        </w:rPr>
        <w:t>обгрунтованої</w:t>
      </w:r>
      <w:proofErr w:type="spellEnd"/>
      <w:r w:rsidRPr="004B7DC1">
        <w:rPr>
          <w:rFonts w:ascii="Times New Roman" w:eastAsia="Times New Roman" w:hAnsi="Times New Roman"/>
          <w:sz w:val="24"/>
          <w:lang w:val="uk-UA" w:eastAsia="ru-RU"/>
        </w:rPr>
        <w:t xml:space="preserve"> плати за користування місцем розташування ОЗР в залежності від місця встановлення ОЗР та виду рекламного засобу;</w:t>
      </w:r>
    </w:p>
    <w:p w:rsidR="00D00E75" w:rsidRPr="004B7DC1" w:rsidRDefault="00D00E75" w:rsidP="002A495E">
      <w:pPr>
        <w:pStyle w:val="a3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lang w:val="uk-UA" w:eastAsia="ru-RU"/>
        </w:rPr>
      </w:pPr>
      <w:r w:rsidRPr="004B7DC1">
        <w:rPr>
          <w:rFonts w:ascii="Times New Roman" w:eastAsia="Times New Roman" w:hAnsi="Times New Roman"/>
          <w:sz w:val="24"/>
          <w:lang w:val="uk-UA" w:eastAsia="ru-RU"/>
        </w:rPr>
        <w:t>встановлення єдиного порядку розміщення ОЗР та їх демонтажу;</w:t>
      </w:r>
    </w:p>
    <w:p w:rsidR="00D00E75" w:rsidRDefault="00D00E75" w:rsidP="002A495E">
      <w:pPr>
        <w:pStyle w:val="a3"/>
        <w:numPr>
          <w:ilvl w:val="0"/>
          <w:numId w:val="2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lang w:val="uk-UA" w:eastAsia="ru-RU"/>
        </w:rPr>
      </w:pPr>
      <w:r w:rsidRPr="004B7DC1">
        <w:rPr>
          <w:rFonts w:ascii="Times New Roman" w:eastAsia="Times New Roman" w:hAnsi="Times New Roman"/>
          <w:sz w:val="24"/>
          <w:lang w:val="uk-UA" w:eastAsia="ru-RU"/>
        </w:rPr>
        <w:t>поліпшення стану  прилеглої територі</w:t>
      </w:r>
      <w:r w:rsidR="004B7DC1">
        <w:rPr>
          <w:rFonts w:ascii="Times New Roman" w:eastAsia="Times New Roman" w:hAnsi="Times New Roman"/>
          <w:sz w:val="24"/>
          <w:lang w:val="uk-UA" w:eastAsia="ru-RU"/>
        </w:rPr>
        <w:t>ї та території встановлення ОЗР.</w:t>
      </w:r>
    </w:p>
    <w:p w:rsidR="002A495E" w:rsidRPr="004B7DC1" w:rsidRDefault="002A495E" w:rsidP="00E2544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3. Альтернативні способи досягнення цілей державного регулювання.</w:t>
      </w:r>
    </w:p>
    <w:p w:rsidR="003F0198" w:rsidRDefault="003F0198" w:rsidP="002A495E">
      <w:pPr>
        <w:spacing w:line="240" w:lineRule="auto"/>
        <w:ind w:firstLine="708"/>
        <w:rPr>
          <w:rFonts w:ascii="Times New Roman" w:hAnsi="Times New Roman"/>
          <w:sz w:val="24"/>
          <w:lang w:val="uk-UA"/>
        </w:rPr>
      </w:pPr>
      <w:r w:rsidRPr="00746ED2">
        <w:rPr>
          <w:rFonts w:ascii="Times New Roman" w:hAnsi="Times New Roman"/>
          <w:sz w:val="24"/>
          <w:lang w:val="uk-UA"/>
        </w:rPr>
        <w:t xml:space="preserve">Під час розробки проекту рішення </w:t>
      </w:r>
      <w:r w:rsidR="00D00E75" w:rsidRPr="00D00E75">
        <w:rPr>
          <w:rFonts w:ascii="Times New Roman" w:eastAsia="Times New Roman" w:hAnsi="Times New Roman"/>
          <w:sz w:val="24"/>
          <w:lang w:val="uk-UA" w:eastAsia="ru-RU"/>
        </w:rPr>
        <w:t xml:space="preserve">«Про затвердження Положення про розміщення об’єктів зовнішньої реклами у місті Буча» </w:t>
      </w:r>
      <w:r w:rsidRPr="00746ED2">
        <w:rPr>
          <w:rFonts w:ascii="Times New Roman" w:hAnsi="Times New Roman"/>
          <w:sz w:val="24"/>
          <w:lang w:val="uk-UA"/>
        </w:rPr>
        <w:t>були розглянуті такі альтернативні способи досягнення вищезазначених цілей:</w:t>
      </w:r>
    </w:p>
    <w:p w:rsidR="00487F74" w:rsidRPr="00746ED2" w:rsidRDefault="00487F74" w:rsidP="002A495E">
      <w:pPr>
        <w:spacing w:line="240" w:lineRule="auto"/>
        <w:ind w:firstLine="708"/>
        <w:rPr>
          <w:rFonts w:ascii="Times New Roman" w:hAnsi="Times New Roman"/>
          <w:sz w:val="24"/>
          <w:lang w:val="uk-UA"/>
        </w:rPr>
      </w:pPr>
    </w:p>
    <w:p w:rsidR="003F0198" w:rsidRPr="00746ED2" w:rsidRDefault="003F0198" w:rsidP="002A495E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Залишення існуючої ситуації без змін.</w:t>
      </w:r>
    </w:p>
    <w:p w:rsidR="003F0198" w:rsidRDefault="003F0198" w:rsidP="002A495E">
      <w:pPr>
        <w:pStyle w:val="a4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Від такої альтернативи необхідно відмовитись, тому що це </w:t>
      </w:r>
      <w:r w:rsidR="00D00E7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не вирішить проблеми недосконалості Правил </w:t>
      </w:r>
      <w:r w:rsidR="00D00E75" w:rsidRPr="00D00E75">
        <w:rPr>
          <w:rFonts w:ascii="Times New Roman" w:hAnsi="Times New Roman"/>
          <w:color w:val="auto"/>
          <w:sz w:val="24"/>
          <w:lang w:val="uk-UA"/>
        </w:rPr>
        <w:t xml:space="preserve">розміщення об‘єктів зовнішньої реклами у </w:t>
      </w:r>
      <w:proofErr w:type="spellStart"/>
      <w:r w:rsidR="00D00E75" w:rsidRPr="00D00E75">
        <w:rPr>
          <w:rFonts w:ascii="Times New Roman" w:hAnsi="Times New Roman"/>
          <w:color w:val="auto"/>
          <w:sz w:val="24"/>
          <w:lang w:val="uk-UA"/>
        </w:rPr>
        <w:t>м.Буча</w:t>
      </w:r>
      <w:proofErr w:type="spellEnd"/>
      <w:r w:rsidR="00D00E75" w:rsidRPr="00D00E7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 w:rsidR="00D00E75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що на даний </w:t>
      </w:r>
      <w:r w:rsidR="00D00E75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час діють на території міста Буча</w:t>
      </w:r>
      <w:r w:rsidR="00344521" w:rsidRPr="0034452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Крім того це не забезпечить належних </w:t>
      </w:r>
      <w:r w:rsidR="0034452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надходжень до  міського бюджету </w:t>
      </w:r>
      <w:proofErr w:type="spellStart"/>
      <w:r w:rsidR="00344521">
        <w:rPr>
          <w:rFonts w:ascii="Times New Roman" w:hAnsi="Times New Roman" w:cs="Times New Roman"/>
          <w:color w:val="auto"/>
          <w:sz w:val="24"/>
          <w:szCs w:val="24"/>
          <w:lang w:val="uk-UA"/>
        </w:rPr>
        <w:t>м.Буча</w:t>
      </w:r>
      <w:proofErr w:type="spellEnd"/>
      <w:r w:rsidR="00344521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F0198" w:rsidRPr="00746ED2" w:rsidRDefault="003F0198" w:rsidP="002A495E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</w:pPr>
      <w:r w:rsidRPr="00746ED2">
        <w:rPr>
          <w:rFonts w:ascii="Times New Roman" w:hAnsi="Times New Roman" w:cs="Times New Roman"/>
          <w:b/>
          <w:i/>
          <w:color w:val="auto"/>
          <w:sz w:val="24"/>
          <w:szCs w:val="24"/>
          <w:lang w:val="uk-UA"/>
        </w:rPr>
        <w:t>Прийняття цього регуляторного акту.</w:t>
      </w:r>
    </w:p>
    <w:p w:rsidR="003B6609" w:rsidRDefault="003F0198" w:rsidP="002A495E">
      <w:pPr>
        <w:spacing w:line="240" w:lineRule="auto"/>
        <w:ind w:left="708"/>
        <w:rPr>
          <w:rFonts w:ascii="Times New Roman" w:hAnsi="Times New Roman"/>
          <w:sz w:val="24"/>
          <w:lang w:val="uk-UA"/>
        </w:rPr>
      </w:pPr>
      <w:r w:rsidRPr="00746ED2">
        <w:rPr>
          <w:rFonts w:ascii="Times New Roman" w:hAnsi="Times New Roman"/>
          <w:sz w:val="24"/>
          <w:lang w:val="uk-UA"/>
        </w:rPr>
        <w:t xml:space="preserve">Даний регуляторний акт спрямований на </w:t>
      </w:r>
      <w:r w:rsidR="00D00E75">
        <w:rPr>
          <w:rFonts w:ascii="Times New Roman" w:hAnsi="Times New Roman"/>
          <w:sz w:val="24"/>
          <w:lang w:val="uk-UA"/>
        </w:rPr>
        <w:t>досягнення вищезазначених цілей, тому прийняття даного регуляторного акту вирішить проблему недоск</w:t>
      </w:r>
      <w:r w:rsidR="003B6609">
        <w:rPr>
          <w:rFonts w:ascii="Times New Roman" w:hAnsi="Times New Roman"/>
          <w:sz w:val="24"/>
          <w:lang w:val="uk-UA"/>
        </w:rPr>
        <w:t>оналості діючих</w:t>
      </w:r>
      <w:r w:rsidR="00D00E75">
        <w:rPr>
          <w:rFonts w:ascii="Times New Roman" w:hAnsi="Times New Roman"/>
          <w:sz w:val="24"/>
          <w:lang w:val="uk-UA"/>
        </w:rPr>
        <w:t xml:space="preserve"> Правил </w:t>
      </w:r>
      <w:r w:rsidR="00D00E75" w:rsidRPr="00D00E75">
        <w:rPr>
          <w:rFonts w:ascii="Times New Roman" w:hAnsi="Times New Roman"/>
          <w:sz w:val="24"/>
          <w:lang w:val="uk-UA"/>
        </w:rPr>
        <w:t>розміщення об‘єк</w:t>
      </w:r>
      <w:r w:rsidR="00E25441">
        <w:rPr>
          <w:rFonts w:ascii="Times New Roman" w:hAnsi="Times New Roman"/>
          <w:sz w:val="24"/>
          <w:lang w:val="uk-UA"/>
        </w:rPr>
        <w:t xml:space="preserve">тів зовнішньої реклами у </w:t>
      </w:r>
      <w:proofErr w:type="spellStart"/>
      <w:r w:rsidR="00E25441">
        <w:rPr>
          <w:rFonts w:ascii="Times New Roman" w:hAnsi="Times New Roman"/>
          <w:sz w:val="24"/>
          <w:lang w:val="uk-UA"/>
        </w:rPr>
        <w:t>м.Буча</w:t>
      </w:r>
      <w:proofErr w:type="spellEnd"/>
      <w:r w:rsidR="00E25441">
        <w:rPr>
          <w:rFonts w:ascii="Times New Roman" w:hAnsi="Times New Roman"/>
          <w:sz w:val="24"/>
          <w:lang w:val="uk-UA"/>
        </w:rPr>
        <w:t>.</w:t>
      </w:r>
      <w:r w:rsidR="00D00E75" w:rsidRPr="00D00E75">
        <w:rPr>
          <w:rFonts w:ascii="Times New Roman" w:hAnsi="Times New Roman"/>
          <w:sz w:val="24"/>
          <w:lang w:val="uk-UA"/>
        </w:rPr>
        <w:t xml:space="preserve"> </w:t>
      </w:r>
      <w:r w:rsidR="003B6609">
        <w:rPr>
          <w:rFonts w:ascii="Times New Roman" w:hAnsi="Times New Roman"/>
          <w:sz w:val="24"/>
          <w:lang w:val="uk-UA"/>
        </w:rPr>
        <w:t>Крім того прийняття даного регуляторного акту буде</w:t>
      </w:r>
      <w:r w:rsidR="003B6609" w:rsidRPr="003B6609">
        <w:rPr>
          <w:rFonts w:ascii="Times New Roman" w:hAnsi="Times New Roman"/>
          <w:sz w:val="24"/>
          <w:lang w:val="uk-UA"/>
        </w:rPr>
        <w:t xml:space="preserve"> стимулю</w:t>
      </w:r>
      <w:r w:rsidR="003B6609">
        <w:rPr>
          <w:rFonts w:ascii="Times New Roman" w:hAnsi="Times New Roman"/>
          <w:sz w:val="24"/>
          <w:lang w:val="uk-UA"/>
        </w:rPr>
        <w:t>вати</w:t>
      </w:r>
      <w:r w:rsidR="003B6609" w:rsidRPr="003B6609">
        <w:rPr>
          <w:rFonts w:ascii="Times New Roman" w:hAnsi="Times New Roman"/>
          <w:sz w:val="24"/>
          <w:lang w:val="uk-UA"/>
        </w:rPr>
        <w:t xml:space="preserve"> використання мало привабливих для підприємницької діяльності м</w:t>
      </w:r>
      <w:r w:rsidR="003B6609">
        <w:rPr>
          <w:rFonts w:ascii="Times New Roman" w:hAnsi="Times New Roman"/>
          <w:sz w:val="24"/>
          <w:lang w:val="uk-UA"/>
        </w:rPr>
        <w:t xml:space="preserve">ісць можливого розташування ОЗР, </w:t>
      </w:r>
      <w:r w:rsidR="003B6609" w:rsidRPr="003B6609">
        <w:rPr>
          <w:rFonts w:ascii="Times New Roman" w:hAnsi="Times New Roman"/>
          <w:sz w:val="24"/>
          <w:lang w:val="uk-UA"/>
        </w:rPr>
        <w:t>забезпечу</w:t>
      </w:r>
      <w:r w:rsidR="003B6609">
        <w:rPr>
          <w:rFonts w:ascii="Times New Roman" w:hAnsi="Times New Roman"/>
          <w:sz w:val="24"/>
          <w:lang w:val="uk-UA"/>
        </w:rPr>
        <w:t>вати</w:t>
      </w:r>
      <w:r w:rsidR="003B6609" w:rsidRPr="003B6609">
        <w:rPr>
          <w:rFonts w:ascii="Times New Roman" w:hAnsi="Times New Roman"/>
          <w:sz w:val="24"/>
          <w:lang w:val="uk-UA"/>
        </w:rPr>
        <w:t xml:space="preserve"> належні надходження до  місцевого бюджету</w:t>
      </w:r>
      <w:r w:rsidR="003B6609">
        <w:rPr>
          <w:rFonts w:ascii="Times New Roman" w:hAnsi="Times New Roman"/>
          <w:sz w:val="24"/>
          <w:lang w:val="uk-UA"/>
        </w:rPr>
        <w:t xml:space="preserve"> та відповідати вимогам чинного законодавства.</w:t>
      </w:r>
    </w:p>
    <w:p w:rsidR="00D72E5E" w:rsidRPr="00746ED2" w:rsidRDefault="00D72E5E" w:rsidP="003C128F">
      <w:pPr>
        <w:spacing w:line="240" w:lineRule="auto"/>
        <w:ind w:left="708"/>
        <w:rPr>
          <w:rFonts w:ascii="Times New Roman" w:eastAsia="Times New Roman" w:hAnsi="Times New Roman"/>
          <w:sz w:val="24"/>
          <w:lang w:val="uk-UA" w:eastAsia="ru-RU"/>
        </w:rPr>
      </w:pPr>
    </w:p>
    <w:p w:rsidR="00E25441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 xml:space="preserve">4. Механізм, який пропонується застосувати для розв'язання проблеми, </w:t>
      </w: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і відповідні заходи.</w:t>
      </w:r>
    </w:p>
    <w:p w:rsidR="00977BCD" w:rsidRPr="00746ED2" w:rsidRDefault="00977BCD" w:rsidP="003C128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Механізм дії запропонованого регуляторного акту спрямований на </w:t>
      </w:r>
      <w:r w:rsidR="006C7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врегулювання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7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зовнішньої реклами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міста Буча згідно з основними положеннями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54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України </w:t>
      </w:r>
      <w:r w:rsidR="00E25441" w:rsidRPr="00D00E75">
        <w:rPr>
          <w:rFonts w:ascii="Times New Roman" w:eastAsia="Times New Roman" w:hAnsi="Times New Roman"/>
          <w:sz w:val="24"/>
          <w:lang w:val="uk-UA" w:eastAsia="ru-RU"/>
        </w:rPr>
        <w:t>«Про рекламу»</w:t>
      </w:r>
      <w:r w:rsidR="00E25441">
        <w:rPr>
          <w:rFonts w:ascii="Times New Roman" w:eastAsia="Times New Roman" w:hAnsi="Times New Roman"/>
          <w:sz w:val="24"/>
          <w:lang w:val="uk-UA" w:eastAsia="ru-RU"/>
        </w:rPr>
        <w:t>.</w:t>
      </w:r>
    </w:p>
    <w:p w:rsidR="00977BCD" w:rsidRPr="00746ED2" w:rsidRDefault="00977BCD" w:rsidP="00E25441">
      <w:pPr>
        <w:spacing w:line="240" w:lineRule="auto"/>
        <w:ind w:firstLine="708"/>
        <w:rPr>
          <w:rFonts w:ascii="Times New Roman" w:eastAsia="Times New Roman" w:hAnsi="Times New Roman"/>
          <w:sz w:val="24"/>
          <w:lang w:val="uk-UA" w:eastAsia="ru-RU"/>
        </w:rPr>
      </w:pPr>
      <w:r w:rsidRPr="00746ED2">
        <w:rPr>
          <w:rFonts w:ascii="Times New Roman" w:eastAsia="Times New Roman" w:hAnsi="Times New Roman"/>
          <w:sz w:val="24"/>
          <w:lang w:val="uk-UA" w:eastAsia="ru-RU"/>
        </w:rPr>
        <w:t>З метою реалізації поставленої мети пропонується проведення наступних заходів:</w:t>
      </w:r>
    </w:p>
    <w:p w:rsidR="00977BCD" w:rsidRPr="00746ED2" w:rsidRDefault="00977BCD" w:rsidP="003C12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</w:t>
      </w:r>
      <w:r w:rsidR="002A38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r w:rsidR="002A38F4" w:rsidRPr="00F53F5A">
        <w:rPr>
          <w:rFonts w:ascii="Times New Roman" w:eastAsia="Times New Roman" w:hAnsi="Times New Roman"/>
          <w:sz w:val="24"/>
          <w:lang w:val="uk-UA" w:eastAsia="ru-RU"/>
        </w:rPr>
        <w:t>Бучанської міської ради «</w:t>
      </w:r>
      <w:r w:rsidR="000C0B4B" w:rsidRPr="00301708">
        <w:rPr>
          <w:rFonts w:ascii="Times New Roman" w:eastAsia="Times New Roman" w:hAnsi="Times New Roman"/>
          <w:sz w:val="24"/>
          <w:lang w:val="uk-UA" w:eastAsia="ru-RU"/>
        </w:rPr>
        <w:t>Про затвердження Положення про розміщення об’єктів зовнішньої реклами у місті Буча</w:t>
      </w:r>
      <w:r w:rsidR="002A38F4" w:rsidRPr="00F53F5A">
        <w:rPr>
          <w:rFonts w:ascii="Times New Roman" w:eastAsia="Times New Roman" w:hAnsi="Times New Roman"/>
          <w:sz w:val="24"/>
          <w:lang w:val="uk-UA" w:eastAsia="ru-RU"/>
        </w:rPr>
        <w:t>»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7BCD" w:rsidRDefault="00977BCD" w:rsidP="0085101F">
      <w:pPr>
        <w:pStyle w:val="a3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оприлюднення </w:t>
      </w:r>
      <w:r w:rsidR="00B13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проекту </w:t>
      </w:r>
      <w:r w:rsidRPr="00746E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регуляторного акта в засобах масової інформації,</w:t>
      </w:r>
      <w:r w:rsidRPr="00746ED2">
        <w:rPr>
          <w:rFonts w:ascii="Times New Roman" w:hAnsi="Times New Roman" w:cs="Times New Roman"/>
          <w:sz w:val="24"/>
          <w:szCs w:val="24"/>
          <w:lang w:val="uk-UA"/>
        </w:rPr>
        <w:t xml:space="preserve"> з метою одержання зауважень і пропозицій від територіальної громади м. Буча.</w:t>
      </w:r>
    </w:p>
    <w:p w:rsidR="003C128F" w:rsidRPr="00746ED2" w:rsidRDefault="003C128F" w:rsidP="003C128F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5. Можливість досягнення визначених цілей у разі прийняття</w:t>
      </w: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регуляторного акта</w:t>
      </w:r>
      <w:r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.</w:t>
      </w:r>
    </w:p>
    <w:p w:rsidR="00F53F5A" w:rsidRPr="00F53F5A" w:rsidRDefault="00F53F5A" w:rsidP="003C128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Найбільш значний вплив зовнішніх факторів на дію вищезазначеного акта можливий при виникненні змін у чинному законодавстві. В цьому випадку може мати місце невідповідність положень регуляторного акта нормам, що встановлюються нормативно-правовим актом вищої юридичної сили. Зазначена обставина негативно вплине на виконання вимог акта, проте може бути подолана шляхом внесення відповідних корегувань до нього.</w:t>
      </w:r>
    </w:p>
    <w:p w:rsidR="00F53F5A" w:rsidRDefault="00F53F5A" w:rsidP="003C128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Враховуючи вищевикладене, впровадження та виконання вимог акта органами державної влади, органами місцевого самоврядування, суб’єктами підприємницької діяльності передбачається ефективним.</w:t>
      </w:r>
    </w:p>
    <w:p w:rsidR="000A1567" w:rsidRDefault="000A1567" w:rsidP="003C128F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</w:p>
    <w:p w:rsidR="000A1567" w:rsidRDefault="000A1567" w:rsidP="000A1567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 xml:space="preserve">6. </w:t>
      </w:r>
      <w:r w:rsidRPr="000A1567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Принципи та способи досягнення цілей регулювання:</w:t>
      </w:r>
    </w:p>
    <w:p w:rsidR="00560830" w:rsidRPr="000A1567" w:rsidRDefault="00560830" w:rsidP="000A1567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0A1567" w:rsidRPr="000A1567" w:rsidRDefault="000A1567" w:rsidP="000A1567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Регулювання побудоване відповідно до принципів регуляторної політики:</w:t>
      </w:r>
    </w:p>
    <w:p w:rsidR="000A1567" w:rsidRPr="000A1567" w:rsidRDefault="000A1567" w:rsidP="000A1567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враховуються єдині умови і обмеження  щодо встановлення та розміщення ОЗР на окремо визначеній земельній ділянці;</w:t>
      </w:r>
    </w:p>
    <w:p w:rsidR="000A1567" w:rsidRPr="000A1567" w:rsidRDefault="000A1567" w:rsidP="000A1567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визначаються чіткі умови </w:t>
      </w:r>
      <w:r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 та порядок щодо демонтажу ОЗР </w:t>
      </w: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;</w:t>
      </w:r>
    </w:p>
    <w:p w:rsidR="000A1567" w:rsidRDefault="000A1567" w:rsidP="000A1567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регламентується порядок справляння та контроль  за надходженням  плати    за користуванням місцем розташування ОЗР;</w:t>
      </w:r>
    </w:p>
    <w:p w:rsidR="000A1567" w:rsidRDefault="000A1567" w:rsidP="000A1567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ефективне використання  території міста;</w:t>
      </w:r>
    </w:p>
    <w:p w:rsidR="000A1567" w:rsidRPr="000A1567" w:rsidRDefault="000A1567" w:rsidP="000A1567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врахування внесених з боку суб’єктів підприємницької діял</w:t>
      </w:r>
      <w:r>
        <w:rPr>
          <w:rFonts w:ascii="Times New Roman" w:eastAsia="Times New Roman" w:hAnsi="Times New Roman"/>
          <w:color w:val="000000"/>
          <w:sz w:val="24"/>
          <w:lang w:val="uk-UA" w:eastAsia="ru-RU"/>
        </w:rPr>
        <w:t>ьності пропозицій та зауважень.</w:t>
      </w:r>
    </w:p>
    <w:p w:rsidR="000A1567" w:rsidRPr="000A1567" w:rsidRDefault="000A1567" w:rsidP="000A1567">
      <w:pPr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Запропоновані способи  забезпечують </w:t>
      </w:r>
      <w:r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високу ефективність способів </w:t>
      </w: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досягнення цілей регулювання:</w:t>
      </w:r>
    </w:p>
    <w:p w:rsidR="000A1567" w:rsidRPr="000A1567" w:rsidRDefault="000A1567" w:rsidP="000A1567">
      <w:pPr>
        <w:pStyle w:val="a3"/>
        <w:numPr>
          <w:ilvl w:val="0"/>
          <w:numId w:val="30"/>
        </w:numPr>
        <w:spacing w:line="240" w:lineRule="auto"/>
        <w:ind w:hanging="417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чіткий механізм порядку та умов встановлення на території міста ОЗР;</w:t>
      </w:r>
    </w:p>
    <w:p w:rsidR="000A1567" w:rsidRPr="000A1567" w:rsidRDefault="000A1567" w:rsidP="000A1567">
      <w:pPr>
        <w:pStyle w:val="a3"/>
        <w:numPr>
          <w:ilvl w:val="0"/>
          <w:numId w:val="30"/>
        </w:numPr>
        <w:spacing w:line="240" w:lineRule="auto"/>
        <w:ind w:hanging="417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>ефективність використання території міста ;</w:t>
      </w:r>
    </w:p>
    <w:p w:rsidR="000A1567" w:rsidRPr="000A1567" w:rsidRDefault="000A1567" w:rsidP="000A1567">
      <w:pPr>
        <w:pStyle w:val="a3"/>
        <w:numPr>
          <w:ilvl w:val="0"/>
          <w:numId w:val="30"/>
        </w:numPr>
        <w:spacing w:line="240" w:lineRule="auto"/>
        <w:ind w:hanging="417"/>
        <w:jc w:val="both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0A1567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економії часу суб’єктів господарювання при отриманні відповідних дозвільних документів на </w:t>
      </w:r>
      <w:r>
        <w:rPr>
          <w:rFonts w:ascii="Times New Roman" w:eastAsia="Times New Roman" w:hAnsi="Times New Roman"/>
          <w:color w:val="000000"/>
          <w:sz w:val="24"/>
          <w:lang w:val="uk-UA" w:eastAsia="ru-RU"/>
        </w:rPr>
        <w:t>встановлення та розміщення  ОЗР.</w:t>
      </w:r>
    </w:p>
    <w:p w:rsidR="00CE4615" w:rsidRDefault="00CE4615" w:rsidP="003C128F">
      <w:pPr>
        <w:tabs>
          <w:tab w:val="num" w:pos="0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CE4615" w:rsidRDefault="00CE4615" w:rsidP="003C128F">
      <w:pPr>
        <w:tabs>
          <w:tab w:val="num" w:pos="0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p w:rsidR="003C128F" w:rsidRDefault="00F56FAE" w:rsidP="003C128F">
      <w:pPr>
        <w:tabs>
          <w:tab w:val="num" w:pos="0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lastRenderedPageBreak/>
        <w:t>7</w:t>
      </w:r>
      <w:r w:rsidR="00F53F5A"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. Очікувані результати прийняття акта.</w:t>
      </w:r>
    </w:p>
    <w:p w:rsidR="0087684B" w:rsidRPr="00F53F5A" w:rsidRDefault="0087684B" w:rsidP="003C128F">
      <w:pPr>
        <w:tabs>
          <w:tab w:val="num" w:pos="0"/>
        </w:tabs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3"/>
      </w:tblGrid>
      <w:tr w:rsidR="00F53F5A" w:rsidRPr="00F53F5A" w:rsidTr="0087684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Сфера впливу регуляторного акта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Вигоди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Витрати</w:t>
            </w:r>
          </w:p>
        </w:tc>
      </w:tr>
      <w:tr w:rsidR="00221DCD" w:rsidRPr="00221DCD" w:rsidTr="0087684B">
        <w:trPr>
          <w:trHeight w:val="2484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CD" w:rsidRPr="00F53F5A" w:rsidRDefault="00221DCD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Органи місцевого самоврядування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CD" w:rsidRPr="00221DCD" w:rsidRDefault="00221DCD" w:rsidP="0087684B">
            <w:pPr>
              <w:spacing w:line="240" w:lineRule="auto"/>
              <w:ind w:left="-76" w:firstLine="283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221DCD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Зб</w:t>
            </w:r>
            <w:r w:rsidR="0087684B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 xml:space="preserve">ільшення надходжень до міського </w:t>
            </w:r>
            <w:r w:rsidRPr="00221DCD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бюджету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.</w:t>
            </w:r>
            <w:r w:rsidRPr="00221DCD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 xml:space="preserve"> </w:t>
            </w:r>
          </w:p>
          <w:p w:rsidR="00221DCD" w:rsidRPr="00221DCD" w:rsidRDefault="00221DCD" w:rsidP="0087684B">
            <w:pPr>
              <w:spacing w:line="240" w:lineRule="auto"/>
              <w:ind w:left="-76" w:firstLine="283"/>
              <w:rPr>
                <w:rFonts w:ascii="Times New Roman" w:eastAsia="Times New Roman" w:hAnsi="Times New Roman"/>
                <w:sz w:val="24"/>
                <w:lang w:val="uk-UA" w:eastAsia="ru-RU"/>
              </w:rPr>
            </w:pPr>
            <w:r w:rsidRPr="00301708">
              <w:rPr>
                <w:rFonts w:ascii="Times New Roman" w:eastAsia="Times New Roman" w:hAnsi="Times New Roman"/>
                <w:sz w:val="24"/>
                <w:lang w:val="uk-UA" w:eastAsia="ru-RU"/>
              </w:rPr>
              <w:t>Упорядкування  та економне використання території міста</w:t>
            </w:r>
            <w:r>
              <w:rPr>
                <w:rFonts w:ascii="Times New Roman" w:eastAsia="Times New Roman" w:hAnsi="Times New Roman"/>
                <w:sz w:val="24"/>
                <w:lang w:val="uk-UA" w:eastAsia="ru-RU"/>
              </w:rPr>
              <w:t>.</w:t>
            </w:r>
          </w:p>
          <w:p w:rsidR="00221DCD" w:rsidRPr="00221DCD" w:rsidRDefault="00221DCD" w:rsidP="0087684B">
            <w:pPr>
              <w:spacing w:line="240" w:lineRule="auto"/>
              <w:ind w:left="-76" w:firstLine="283"/>
              <w:rPr>
                <w:rFonts w:ascii="Times New Roman" w:eastAsia="Times New Roman" w:hAnsi="Times New Roman"/>
                <w:sz w:val="24"/>
                <w:lang w:val="uk-UA" w:eastAsia="ru-RU"/>
              </w:rPr>
            </w:pPr>
            <w:r w:rsidRPr="00301708">
              <w:rPr>
                <w:rFonts w:ascii="Times New Roman" w:eastAsia="Times New Roman" w:hAnsi="Times New Roman"/>
                <w:sz w:val="24"/>
                <w:lang w:val="uk-UA" w:eastAsia="ru-RU"/>
              </w:rPr>
              <w:t xml:space="preserve">Забезпечення вчасного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uk-UA" w:eastAsia="ru-RU"/>
              </w:rPr>
              <w:t>надходжен-</w:t>
            </w:r>
            <w:r w:rsidRPr="00301708">
              <w:rPr>
                <w:rFonts w:ascii="Times New Roman" w:eastAsia="Times New Roman" w:hAnsi="Times New Roman"/>
                <w:sz w:val="24"/>
                <w:lang w:val="uk-UA" w:eastAsia="ru-RU"/>
              </w:rPr>
              <w:t>ня</w:t>
            </w:r>
            <w:proofErr w:type="spellEnd"/>
            <w:r w:rsidRPr="00301708">
              <w:rPr>
                <w:rFonts w:ascii="Times New Roman" w:eastAsia="Times New Roman" w:hAnsi="Times New Roman"/>
                <w:sz w:val="24"/>
                <w:lang w:val="uk-UA" w:eastAsia="ru-RU"/>
              </w:rPr>
              <w:t xml:space="preserve">  плати за користуванням місцем встановлення ОЗР та  контроль за її справлянням</w:t>
            </w:r>
            <w:r>
              <w:rPr>
                <w:rFonts w:ascii="Times New Roman" w:eastAsia="Times New Roman" w:hAnsi="Times New Roman"/>
                <w:sz w:val="24"/>
                <w:lang w:val="uk-UA" w:eastAsia="ru-RU"/>
              </w:rPr>
              <w:t>.</w:t>
            </w:r>
          </w:p>
          <w:p w:rsidR="00221DCD" w:rsidRPr="00221DCD" w:rsidRDefault="00221DCD" w:rsidP="0087684B">
            <w:pPr>
              <w:spacing w:line="240" w:lineRule="auto"/>
              <w:ind w:left="-76" w:firstLine="283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301708">
              <w:rPr>
                <w:rFonts w:ascii="Times New Roman" w:eastAsia="Times New Roman" w:hAnsi="Times New Roman"/>
                <w:sz w:val="24"/>
                <w:lang w:val="uk-UA" w:eastAsia="ru-RU"/>
              </w:rPr>
              <w:t>Підвищення  іміджу місцевої влади</w:t>
            </w:r>
            <w:r w:rsidR="0087684B">
              <w:rPr>
                <w:rFonts w:ascii="Times New Roman" w:eastAsia="Times New Roman" w:hAnsi="Times New Roman"/>
                <w:sz w:val="24"/>
                <w:lang w:val="uk-UA" w:eastAsia="ru-RU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DCD" w:rsidRPr="00F53F5A" w:rsidRDefault="00221DCD" w:rsidP="003C128F">
            <w:pPr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sz w:val="24"/>
                <w:lang w:val="uk-UA" w:eastAsia="ru-RU"/>
              </w:rPr>
              <w:t>Відсутні</w:t>
            </w:r>
          </w:p>
        </w:tc>
      </w:tr>
      <w:tr w:rsidR="00F53F5A" w:rsidRPr="00F53F5A" w:rsidTr="0087684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Суб’єкти господарювання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Default="003C128F" w:rsidP="0087684B">
            <w:pPr>
              <w:spacing w:line="240" w:lineRule="auto"/>
              <w:ind w:firstLine="207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 xml:space="preserve">Прозорість механізму </w:t>
            </w:r>
            <w:r w:rsidR="00221DCD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встановлення плати за розміщення об‘єкту зовнішньої реклами.</w:t>
            </w:r>
          </w:p>
          <w:p w:rsidR="00221DCD" w:rsidRPr="00F53F5A" w:rsidRDefault="00221DCD" w:rsidP="0087684B">
            <w:pPr>
              <w:spacing w:line="240" w:lineRule="auto"/>
              <w:ind w:firstLine="207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221DCD" w:rsidP="0087684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Витрати, пов‘язані з веденням підприємницької діяльності</w:t>
            </w:r>
          </w:p>
        </w:tc>
      </w:tr>
      <w:tr w:rsidR="00F53F5A" w:rsidRPr="00F53F5A" w:rsidTr="0087684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b/>
                <w:color w:val="000000"/>
                <w:sz w:val="24"/>
                <w:lang w:val="uk-UA" w:eastAsia="ru-RU"/>
              </w:rPr>
              <w:t>Територіальна громада міста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3C128F" w:rsidP="0087684B">
            <w:pPr>
              <w:spacing w:line="240" w:lineRule="auto"/>
              <w:ind w:firstLine="207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М</w:t>
            </w:r>
            <w:r w:rsidR="00F53F5A" w:rsidRPr="00F53F5A"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  <w:t>ожливість реалізації соціальних заходів у зв’язку з додатковими надходженнями до місцевого бюджету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5A" w:rsidRPr="00F53F5A" w:rsidRDefault="00F53F5A" w:rsidP="003C128F">
            <w:pPr>
              <w:spacing w:line="240" w:lineRule="auto"/>
              <w:ind w:firstLine="720"/>
              <w:rPr>
                <w:rFonts w:ascii="Times New Roman" w:eastAsia="Times New Roman" w:hAnsi="Times New Roman"/>
                <w:color w:val="000000"/>
                <w:sz w:val="24"/>
                <w:lang w:val="uk-UA" w:eastAsia="ru-RU"/>
              </w:rPr>
            </w:pPr>
            <w:r w:rsidRPr="00F53F5A">
              <w:rPr>
                <w:rFonts w:ascii="Times New Roman" w:eastAsia="Times New Roman" w:hAnsi="Times New Roman"/>
                <w:sz w:val="24"/>
                <w:lang w:val="uk-UA" w:eastAsia="ru-RU"/>
              </w:rPr>
              <w:t>Відсутні</w:t>
            </w:r>
          </w:p>
        </w:tc>
      </w:tr>
    </w:tbl>
    <w:p w:rsidR="00F53F5A" w:rsidRPr="00F53F5A" w:rsidRDefault="00F53F5A" w:rsidP="003C128F">
      <w:pPr>
        <w:spacing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Default="00221DCD" w:rsidP="003C128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8</w:t>
      </w:r>
      <w:r w:rsidR="00F53F5A"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. Строк дії акта.</w:t>
      </w:r>
      <w:r w:rsidR="00F53F5A" w:rsidRPr="00F53F5A">
        <w:rPr>
          <w:rFonts w:ascii="Times New Roman" w:eastAsia="Times New Roman" w:hAnsi="Times New Roman"/>
          <w:b/>
          <w:color w:val="000000"/>
          <w:sz w:val="24"/>
          <w:lang w:val="uk-UA" w:eastAsia="ru-RU"/>
        </w:rPr>
        <w:t xml:space="preserve"> </w:t>
      </w:r>
    </w:p>
    <w:p w:rsidR="00F53F5A" w:rsidRPr="00F53F5A" w:rsidRDefault="00F53F5A" w:rsidP="003C128F">
      <w:pPr>
        <w:spacing w:line="240" w:lineRule="auto"/>
        <w:ind w:firstLine="720"/>
        <w:contextualSpacing/>
        <w:rPr>
          <w:rFonts w:ascii="Times New Roman" w:eastAsia="Times New Roman" w:hAnsi="Times New Roman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sz w:val="24"/>
          <w:lang w:val="uk-UA" w:eastAsia="ru-RU"/>
        </w:rPr>
        <w:t>Термін дії регуляторного акту необмежений, проте можливий вплив зовнішніх чинників, а саме внесення змін до законодавчих і нормативно - правових актів. У такому разі регуляторний акт буде переглянуто із внесенням до нього відповідних змін.</w:t>
      </w:r>
    </w:p>
    <w:p w:rsidR="00F53F5A" w:rsidRPr="00F53F5A" w:rsidRDefault="00F53F5A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lang w:val="uk-UA" w:eastAsia="ru-RU"/>
        </w:rPr>
      </w:pPr>
    </w:p>
    <w:p w:rsidR="00F53F5A" w:rsidRDefault="00221DCD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9</w:t>
      </w:r>
      <w:r w:rsidR="00F53F5A"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. Показники результативності акта.</w:t>
      </w:r>
    </w:p>
    <w:p w:rsidR="00F53F5A" w:rsidRPr="00F53F5A" w:rsidRDefault="00F53F5A" w:rsidP="003C128F">
      <w:pPr>
        <w:tabs>
          <w:tab w:val="num" w:pos="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Пропонується використати наступні показники результативності:</w:t>
      </w:r>
    </w:p>
    <w:p w:rsidR="00F53F5A" w:rsidRPr="00F53F5A" w:rsidRDefault="00F53F5A" w:rsidP="00221DCD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розмір надходжень до місцевого бюджету міста Буча від </w:t>
      </w:r>
      <w:r w:rsidR="003C128F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сплати </w:t>
      </w:r>
      <w:r w:rsidR="00221DCD" w:rsidRPr="00221DCD">
        <w:rPr>
          <w:rFonts w:ascii="Times New Roman" w:eastAsia="Times New Roman" w:hAnsi="Times New Roman"/>
          <w:color w:val="000000"/>
          <w:sz w:val="24"/>
          <w:lang w:val="uk-UA" w:eastAsia="ru-RU"/>
        </w:rPr>
        <w:t>за право тимчасового користування місцями для розміщення ОЗР на землях та об’єкт</w:t>
      </w:r>
      <w:r w:rsidR="00CB36D7">
        <w:rPr>
          <w:rFonts w:ascii="Times New Roman" w:eastAsia="Times New Roman" w:hAnsi="Times New Roman"/>
          <w:color w:val="000000"/>
          <w:sz w:val="24"/>
          <w:lang w:val="uk-UA" w:eastAsia="ru-RU"/>
        </w:rPr>
        <w:t>ах територіальної громади міста</w:t>
      </w: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;</w:t>
      </w:r>
    </w:p>
    <w:p w:rsidR="00F53F5A" w:rsidRDefault="00F53F5A" w:rsidP="003C128F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рівень поінформованості суб'єктів господарювання та/або фізични</w:t>
      </w:r>
      <w:r w:rsidR="003C128F">
        <w:rPr>
          <w:rFonts w:ascii="Times New Roman" w:eastAsia="Times New Roman" w:hAnsi="Times New Roman"/>
          <w:color w:val="000000"/>
          <w:sz w:val="24"/>
          <w:lang w:val="uk-UA" w:eastAsia="ru-RU"/>
        </w:rPr>
        <w:t>х осіб з основних положень акта.</w:t>
      </w:r>
    </w:p>
    <w:p w:rsidR="002A495E" w:rsidRPr="00F53F5A" w:rsidRDefault="002A495E" w:rsidP="002A495E">
      <w:pPr>
        <w:spacing w:line="240" w:lineRule="auto"/>
        <w:ind w:left="1440"/>
        <w:jc w:val="left"/>
        <w:rPr>
          <w:rFonts w:ascii="Times New Roman" w:eastAsia="Times New Roman" w:hAnsi="Times New Roman"/>
          <w:color w:val="000000"/>
          <w:sz w:val="24"/>
          <w:lang w:val="uk-UA" w:eastAsia="ru-RU"/>
        </w:rPr>
      </w:pPr>
    </w:p>
    <w:p w:rsidR="00F53F5A" w:rsidRDefault="00221DCD" w:rsidP="003C128F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10</w:t>
      </w:r>
      <w:r w:rsidR="00F53F5A" w:rsidRPr="00F53F5A"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 w:eastAsia="ru-RU"/>
        </w:rPr>
        <w:t>. Заходи, за допомогою яких буде здійснюватися відстеження результативності акта.</w:t>
      </w:r>
    </w:p>
    <w:p w:rsidR="00F53F5A" w:rsidRPr="00F53F5A" w:rsidRDefault="00F53F5A" w:rsidP="003C128F">
      <w:pPr>
        <w:tabs>
          <w:tab w:val="num" w:pos="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Базове відстеження результативності регуляторного акта проведено на етапі його підготовки.</w:t>
      </w:r>
    </w:p>
    <w:p w:rsidR="00F53F5A" w:rsidRPr="00F53F5A" w:rsidRDefault="00F53F5A" w:rsidP="003C128F">
      <w:pPr>
        <w:tabs>
          <w:tab w:val="num" w:pos="0"/>
        </w:tabs>
        <w:spacing w:line="240" w:lineRule="auto"/>
        <w:ind w:firstLine="720"/>
        <w:rPr>
          <w:rFonts w:ascii="Times New Roman" w:eastAsia="Times New Roman" w:hAnsi="Times New Roman"/>
          <w:color w:val="000000"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>Повторне відстеження здійснюється через рік після набрання чинності актом або більшістю його положень, але не пізніше ніж через два роки.</w:t>
      </w:r>
    </w:p>
    <w:p w:rsidR="00446A7A" w:rsidRDefault="00F53F5A" w:rsidP="002A495E">
      <w:pPr>
        <w:tabs>
          <w:tab w:val="left" w:pos="-2652"/>
        </w:tabs>
        <w:spacing w:line="240" w:lineRule="auto"/>
        <w:ind w:firstLine="720"/>
        <w:rPr>
          <w:rFonts w:ascii="Times New Roman" w:eastAsia="Times New Roman" w:hAnsi="Times New Roman"/>
          <w:b/>
          <w:sz w:val="24"/>
          <w:lang w:val="uk-UA" w:eastAsia="ru-RU"/>
        </w:rPr>
      </w:pPr>
      <w:r w:rsidRPr="00F53F5A">
        <w:rPr>
          <w:rFonts w:ascii="Times New Roman" w:eastAsia="Times New Roman" w:hAnsi="Times New Roman"/>
          <w:color w:val="000000"/>
          <w:sz w:val="24"/>
          <w:lang w:val="uk-UA" w:eastAsia="ru-RU"/>
        </w:rPr>
        <w:t xml:space="preserve">Для здійснення відстеження результативності регуляторного акта планується </w:t>
      </w:r>
      <w:r w:rsidR="003C128F">
        <w:rPr>
          <w:rFonts w:ascii="Times New Roman" w:eastAsia="Times New Roman" w:hAnsi="Times New Roman"/>
          <w:color w:val="000000"/>
          <w:sz w:val="24"/>
          <w:lang w:val="uk-UA" w:eastAsia="ru-RU"/>
        </w:rPr>
        <w:t>використання статистичних даних.</w:t>
      </w:r>
      <w:r w:rsidR="002A495E"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</w:p>
    <w:p w:rsidR="002A495E" w:rsidRDefault="002A495E" w:rsidP="002A495E">
      <w:pPr>
        <w:tabs>
          <w:tab w:val="left" w:pos="-2652"/>
        </w:tabs>
        <w:spacing w:line="240" w:lineRule="auto"/>
        <w:ind w:firstLine="720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5E1145" w:rsidRDefault="005E1145" w:rsidP="002A495E">
      <w:pPr>
        <w:tabs>
          <w:tab w:val="left" w:pos="-2652"/>
        </w:tabs>
        <w:spacing w:line="240" w:lineRule="auto"/>
        <w:ind w:firstLine="720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446A7A" w:rsidRDefault="0093505E" w:rsidP="00560830">
      <w:pPr>
        <w:spacing w:before="100" w:beforeAutospacing="1" w:after="100" w:afterAutospacing="1" w:line="240" w:lineRule="auto"/>
        <w:ind w:left="567"/>
        <w:jc w:val="left"/>
        <w:rPr>
          <w:rFonts w:ascii="Times New Roman" w:eastAsia="Times New Roman" w:hAnsi="Times New Roman"/>
          <w:b/>
          <w:sz w:val="24"/>
          <w:lang w:val="uk-UA" w:eastAsia="ru-RU"/>
        </w:rPr>
      </w:pP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Завідувач відділом економіки</w:t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О.В.</w:t>
      </w:r>
      <w:proofErr w:type="spellStart"/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Лукіна</w:t>
      </w:r>
      <w:proofErr w:type="spellEnd"/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  <w:r w:rsidR="00446A7A" w:rsidRPr="0093505E">
        <w:rPr>
          <w:rFonts w:ascii="Times New Roman" w:eastAsia="Times New Roman" w:hAnsi="Times New Roman"/>
          <w:b/>
          <w:sz w:val="24"/>
          <w:lang w:val="uk-UA" w:eastAsia="ru-RU"/>
        </w:rPr>
        <w:tab/>
      </w:r>
    </w:p>
    <w:p w:rsidR="005E1145" w:rsidRPr="0093505E" w:rsidRDefault="005E1145" w:rsidP="00560830">
      <w:pPr>
        <w:spacing w:before="100" w:beforeAutospacing="1" w:after="100" w:afterAutospacing="1" w:line="240" w:lineRule="auto"/>
        <w:ind w:left="567"/>
        <w:jc w:val="left"/>
        <w:rPr>
          <w:rFonts w:ascii="Times New Roman" w:eastAsia="Times New Roman" w:hAnsi="Times New Roman"/>
          <w:b/>
          <w:sz w:val="24"/>
          <w:lang w:val="uk-UA" w:eastAsia="ru-RU"/>
        </w:rPr>
      </w:pPr>
    </w:p>
    <w:p w:rsidR="002A495E" w:rsidRPr="002A495E" w:rsidRDefault="0093505E" w:rsidP="00560830">
      <w:pPr>
        <w:spacing w:before="100" w:beforeAutospacing="1" w:after="100" w:afterAutospacing="1" w:line="240" w:lineRule="auto"/>
        <w:ind w:left="567"/>
        <w:jc w:val="left"/>
        <w:rPr>
          <w:rFonts w:ascii="Times New Roman" w:eastAsia="Times New Roman" w:hAnsi="Times New Roman"/>
          <w:sz w:val="24"/>
          <w:lang w:val="uk-UA" w:eastAsia="ru-RU"/>
        </w:rPr>
      </w:pPr>
      <w:r w:rsidRPr="0093505E">
        <w:rPr>
          <w:rFonts w:ascii="Times New Roman" w:eastAsia="Times New Roman" w:hAnsi="Times New Roman"/>
          <w:b/>
          <w:sz w:val="24"/>
          <w:lang w:val="uk-UA" w:eastAsia="ru-RU"/>
        </w:rPr>
        <w:t>Розробник проекту регуляторного акту</w:t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lang w:val="uk-UA" w:eastAsia="ru-RU"/>
        </w:rPr>
        <w:tab/>
        <w:t>М.М.</w:t>
      </w:r>
      <w:proofErr w:type="spellStart"/>
      <w:r>
        <w:rPr>
          <w:rFonts w:ascii="Times New Roman" w:eastAsia="Times New Roman" w:hAnsi="Times New Roman"/>
          <w:b/>
          <w:sz w:val="24"/>
          <w:lang w:val="uk-UA" w:eastAsia="ru-RU"/>
        </w:rPr>
        <w:t>Кроткова</w:t>
      </w:r>
      <w:proofErr w:type="spellEnd"/>
    </w:p>
    <w:sectPr w:rsidR="002A495E" w:rsidRPr="002A495E" w:rsidSect="002A495E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84"/>
    <w:multiLevelType w:val="hybridMultilevel"/>
    <w:tmpl w:val="5F0A6F9C"/>
    <w:lvl w:ilvl="0" w:tplc="4E0214EE">
      <w:start w:val="2"/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F7EF8"/>
    <w:multiLevelType w:val="hybridMultilevel"/>
    <w:tmpl w:val="69566878"/>
    <w:lvl w:ilvl="0" w:tplc="20BAFCEC">
      <w:start w:val="2"/>
      <w:numFmt w:val="bullet"/>
      <w:lvlText w:val="-"/>
      <w:lvlJc w:val="left"/>
      <w:pPr>
        <w:ind w:left="22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F2AFF"/>
    <w:multiLevelType w:val="multilevel"/>
    <w:tmpl w:val="607C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743D2"/>
    <w:multiLevelType w:val="multilevel"/>
    <w:tmpl w:val="0840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56E1"/>
    <w:multiLevelType w:val="hybridMultilevel"/>
    <w:tmpl w:val="9CDC1C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422EF"/>
    <w:multiLevelType w:val="multilevel"/>
    <w:tmpl w:val="B634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662F0"/>
    <w:multiLevelType w:val="multilevel"/>
    <w:tmpl w:val="A142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71E50"/>
    <w:multiLevelType w:val="hybridMultilevel"/>
    <w:tmpl w:val="2C60A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E26A3"/>
    <w:multiLevelType w:val="hybridMultilevel"/>
    <w:tmpl w:val="DFFA3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0E20DA"/>
    <w:multiLevelType w:val="multilevel"/>
    <w:tmpl w:val="E92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D18AA"/>
    <w:multiLevelType w:val="hybridMultilevel"/>
    <w:tmpl w:val="D68AF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EA0B64"/>
    <w:multiLevelType w:val="multilevel"/>
    <w:tmpl w:val="446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AA3432"/>
    <w:multiLevelType w:val="multilevel"/>
    <w:tmpl w:val="296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00A79"/>
    <w:multiLevelType w:val="multilevel"/>
    <w:tmpl w:val="DAC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A180C"/>
    <w:multiLevelType w:val="multilevel"/>
    <w:tmpl w:val="57B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8347E"/>
    <w:multiLevelType w:val="hybridMultilevel"/>
    <w:tmpl w:val="AA9A5228"/>
    <w:lvl w:ilvl="0" w:tplc="20BAFCEC">
      <w:start w:val="2"/>
      <w:numFmt w:val="bullet"/>
      <w:lvlText w:val="-"/>
      <w:lvlJc w:val="left"/>
      <w:pPr>
        <w:ind w:left="157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D80B9F"/>
    <w:multiLevelType w:val="hybridMultilevel"/>
    <w:tmpl w:val="05E69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325DD4"/>
    <w:multiLevelType w:val="hybridMultilevel"/>
    <w:tmpl w:val="D4DA29E4"/>
    <w:lvl w:ilvl="0" w:tplc="F64099DC">
      <w:start w:val="1"/>
      <w:numFmt w:val="bullet"/>
      <w:lvlText w:val=""/>
      <w:lvlJc w:val="left"/>
      <w:pPr>
        <w:ind w:left="141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845798"/>
    <w:multiLevelType w:val="multilevel"/>
    <w:tmpl w:val="5B4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455D3E"/>
    <w:multiLevelType w:val="multilevel"/>
    <w:tmpl w:val="C08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96A8D"/>
    <w:multiLevelType w:val="hybridMultilevel"/>
    <w:tmpl w:val="D2BE562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0E0EB7"/>
    <w:multiLevelType w:val="multilevel"/>
    <w:tmpl w:val="4D3E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12224"/>
    <w:multiLevelType w:val="multilevel"/>
    <w:tmpl w:val="01C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C4C60"/>
    <w:multiLevelType w:val="hybridMultilevel"/>
    <w:tmpl w:val="7FC2C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6929FD"/>
    <w:multiLevelType w:val="multilevel"/>
    <w:tmpl w:val="06A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A4A17"/>
    <w:multiLevelType w:val="multilevel"/>
    <w:tmpl w:val="1578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2A67D7"/>
    <w:multiLevelType w:val="hybridMultilevel"/>
    <w:tmpl w:val="C0DC4DE4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11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832BFF"/>
    <w:multiLevelType w:val="hybridMultilevel"/>
    <w:tmpl w:val="327415C2"/>
    <w:lvl w:ilvl="0" w:tplc="0E2CFDC6">
      <w:start w:val="2"/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7B22A32"/>
    <w:multiLevelType w:val="hybridMultilevel"/>
    <w:tmpl w:val="D1D0D3EC"/>
    <w:lvl w:ilvl="0" w:tplc="F6409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4"/>
  </w:num>
  <w:num w:numId="5">
    <w:abstractNumId w:val="17"/>
  </w:num>
  <w:num w:numId="6">
    <w:abstractNumId w:val="12"/>
  </w:num>
  <w:num w:numId="7">
    <w:abstractNumId w:val="8"/>
  </w:num>
  <w:num w:numId="8">
    <w:abstractNumId w:val="22"/>
  </w:num>
  <w:num w:numId="9">
    <w:abstractNumId w:val="26"/>
  </w:num>
  <w:num w:numId="10">
    <w:abstractNumId w:val="11"/>
  </w:num>
  <w:num w:numId="11">
    <w:abstractNumId w:val="6"/>
  </w:num>
  <w:num w:numId="12">
    <w:abstractNumId w:val="23"/>
  </w:num>
  <w:num w:numId="13">
    <w:abstractNumId w:val="5"/>
  </w:num>
  <w:num w:numId="14">
    <w:abstractNumId w:val="13"/>
  </w:num>
  <w:num w:numId="15">
    <w:abstractNumId w:val="25"/>
  </w:num>
  <w:num w:numId="16">
    <w:abstractNumId w:val="20"/>
  </w:num>
  <w:num w:numId="17">
    <w:abstractNumId w:val="2"/>
  </w:num>
  <w:num w:numId="18">
    <w:abstractNumId w:val="15"/>
  </w:num>
  <w:num w:numId="19">
    <w:abstractNumId w:val="14"/>
  </w:num>
  <w:num w:numId="20">
    <w:abstractNumId w:val="9"/>
  </w:num>
  <w:num w:numId="21">
    <w:abstractNumId w:val="3"/>
  </w:num>
  <w:num w:numId="22">
    <w:abstractNumId w:val="19"/>
  </w:num>
  <w:num w:numId="23">
    <w:abstractNumId w:val="10"/>
  </w:num>
  <w:num w:numId="24">
    <w:abstractNumId w:val="28"/>
  </w:num>
  <w:num w:numId="25">
    <w:abstractNumId w:val="21"/>
  </w:num>
  <w:num w:numId="26">
    <w:abstractNumId w:val="29"/>
  </w:num>
  <w:num w:numId="27">
    <w:abstractNumId w:val="16"/>
  </w:num>
  <w:num w:numId="28">
    <w:abstractNumId w:val="1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C"/>
    <w:rsid w:val="00093C6E"/>
    <w:rsid w:val="000A1567"/>
    <w:rsid w:val="000A61B8"/>
    <w:rsid w:val="000C0B4B"/>
    <w:rsid w:val="0015677F"/>
    <w:rsid w:val="00197CFD"/>
    <w:rsid w:val="00221DCD"/>
    <w:rsid w:val="002A38F4"/>
    <w:rsid w:val="002A495E"/>
    <w:rsid w:val="002B3C8E"/>
    <w:rsid w:val="002C486D"/>
    <w:rsid w:val="00301708"/>
    <w:rsid w:val="00344521"/>
    <w:rsid w:val="003B6609"/>
    <w:rsid w:val="003C128F"/>
    <w:rsid w:val="003D1028"/>
    <w:rsid w:val="003F0198"/>
    <w:rsid w:val="00443998"/>
    <w:rsid w:val="00446A7A"/>
    <w:rsid w:val="00487F74"/>
    <w:rsid w:val="004B7DC1"/>
    <w:rsid w:val="004E4D48"/>
    <w:rsid w:val="00554B9E"/>
    <w:rsid w:val="00560830"/>
    <w:rsid w:val="005C47CC"/>
    <w:rsid w:val="005E1145"/>
    <w:rsid w:val="00603DEE"/>
    <w:rsid w:val="006C052E"/>
    <w:rsid w:val="006C7F64"/>
    <w:rsid w:val="00786F58"/>
    <w:rsid w:val="008153CF"/>
    <w:rsid w:val="008260FB"/>
    <w:rsid w:val="0085101F"/>
    <w:rsid w:val="0087684B"/>
    <w:rsid w:val="00891A56"/>
    <w:rsid w:val="00892F72"/>
    <w:rsid w:val="00916D3C"/>
    <w:rsid w:val="0093505E"/>
    <w:rsid w:val="00977BCD"/>
    <w:rsid w:val="00A45D6D"/>
    <w:rsid w:val="00B136D2"/>
    <w:rsid w:val="00CB36D7"/>
    <w:rsid w:val="00CE4615"/>
    <w:rsid w:val="00D00E75"/>
    <w:rsid w:val="00D72E5E"/>
    <w:rsid w:val="00E25441"/>
    <w:rsid w:val="00F53F5A"/>
    <w:rsid w:val="00F56FAE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98"/>
    <w:pPr>
      <w:spacing w:after="200"/>
      <w:ind w:left="720"/>
      <w:contextualSpacing/>
      <w:jc w:val="left"/>
    </w:pPr>
    <w:rPr>
      <w:rFonts w:cstheme="minorBidi"/>
      <w:szCs w:val="22"/>
    </w:rPr>
  </w:style>
  <w:style w:type="paragraph" w:styleId="a4">
    <w:name w:val="Normal (Web)"/>
    <w:basedOn w:val="a"/>
    <w:rsid w:val="003F019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98"/>
    <w:pPr>
      <w:spacing w:after="200"/>
      <w:ind w:left="720"/>
      <w:contextualSpacing/>
      <w:jc w:val="left"/>
    </w:pPr>
    <w:rPr>
      <w:rFonts w:cstheme="minorBidi"/>
      <w:szCs w:val="22"/>
    </w:rPr>
  </w:style>
  <w:style w:type="paragraph" w:styleId="a4">
    <w:name w:val="Normal (Web)"/>
    <w:basedOn w:val="a"/>
    <w:rsid w:val="003F019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MasterPC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org0</cp:lastModifiedBy>
  <cp:revision>2</cp:revision>
  <dcterms:created xsi:type="dcterms:W3CDTF">2015-07-01T13:19:00Z</dcterms:created>
  <dcterms:modified xsi:type="dcterms:W3CDTF">2015-07-01T13:19:00Z</dcterms:modified>
</cp:coreProperties>
</file>