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4C" w:rsidRPr="00C5078D" w:rsidRDefault="007F494C" w:rsidP="007F494C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4C" w:rsidRPr="00C5078D" w:rsidRDefault="007F494C" w:rsidP="007F494C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5078D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7F494C" w:rsidRPr="00C5078D" w:rsidRDefault="007F494C" w:rsidP="007F494C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C5078D">
        <w:rPr>
          <w:sz w:val="28"/>
          <w:szCs w:val="28"/>
        </w:rPr>
        <w:t>КИЇВСЬКОЇ ОБЛАСТІ</w:t>
      </w:r>
    </w:p>
    <w:p w:rsidR="007F494C" w:rsidRPr="00C5078D" w:rsidRDefault="007F494C" w:rsidP="007F494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</w:t>
      </w:r>
      <w:r w:rsidRPr="00663952">
        <w:rPr>
          <w:b/>
          <w:sz w:val="32"/>
          <w:szCs w:val="32"/>
          <w:lang w:val="uk-UA"/>
        </w:rPr>
        <w:t>’</w:t>
      </w:r>
      <w:r>
        <w:rPr>
          <w:b/>
          <w:bCs/>
          <w:sz w:val="28"/>
          <w:szCs w:val="28"/>
          <w:lang w:val="uk-UA"/>
        </w:rPr>
        <w:t>ЯТНАДЦЯТА</w:t>
      </w:r>
      <w:r w:rsidRPr="00C5078D">
        <w:rPr>
          <w:b/>
          <w:sz w:val="28"/>
          <w:szCs w:val="28"/>
        </w:rPr>
        <w:t xml:space="preserve">  СЕСІЯ    </w:t>
      </w:r>
      <w:r>
        <w:rPr>
          <w:b/>
          <w:sz w:val="28"/>
          <w:szCs w:val="28"/>
          <w:lang w:val="uk-UA"/>
        </w:rPr>
        <w:t>СЬОМОГО</w:t>
      </w:r>
      <w:r w:rsidRPr="00C5078D">
        <w:rPr>
          <w:b/>
          <w:sz w:val="28"/>
          <w:szCs w:val="28"/>
        </w:rPr>
        <w:t xml:space="preserve">    СКЛИКАННЯ</w:t>
      </w:r>
    </w:p>
    <w:p w:rsidR="007F494C" w:rsidRPr="00C5078D" w:rsidRDefault="007F494C" w:rsidP="007F494C">
      <w:pPr>
        <w:jc w:val="both"/>
        <w:rPr>
          <w:b/>
          <w:bCs/>
        </w:rPr>
      </w:pPr>
    </w:p>
    <w:p w:rsidR="007F494C" w:rsidRPr="00C5078D" w:rsidRDefault="007F494C" w:rsidP="007F494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078D">
        <w:rPr>
          <w:rFonts w:ascii="Times New Roman" w:hAnsi="Times New Roman" w:cs="Times New Roman"/>
          <w:b w:val="0"/>
          <w:sz w:val="28"/>
          <w:szCs w:val="28"/>
        </w:rPr>
        <w:t xml:space="preserve">Р  І   Ш   Е   Н   </w:t>
      </w:r>
      <w:proofErr w:type="spellStart"/>
      <w:proofErr w:type="gramStart"/>
      <w:r w:rsidRPr="00C5078D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proofErr w:type="gramEnd"/>
      <w:r w:rsidRPr="00C5078D">
        <w:rPr>
          <w:rFonts w:ascii="Times New Roman" w:hAnsi="Times New Roman" w:cs="Times New Roman"/>
          <w:b w:val="0"/>
          <w:sz w:val="28"/>
          <w:szCs w:val="28"/>
        </w:rPr>
        <w:t xml:space="preserve">   Я</w:t>
      </w:r>
    </w:p>
    <w:p w:rsidR="007F494C" w:rsidRPr="00924F50" w:rsidRDefault="007F494C" w:rsidP="007F494C">
      <w:pPr>
        <w:pStyle w:val="1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28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липня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 xml:space="preserve"> р. 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ab/>
      </w:r>
      <w:r w:rsidRPr="00C5078D">
        <w:rPr>
          <w:rFonts w:ascii="Times New Roman" w:hAnsi="Times New Roman" w:cs="Times New Roman"/>
          <w:b w:val="0"/>
          <w:sz w:val="24"/>
          <w:szCs w:val="24"/>
        </w:rPr>
        <w:tab/>
      </w:r>
      <w:r w:rsidRPr="00C5078D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               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ab/>
      </w:r>
      <w:r w:rsidRPr="00C5078D">
        <w:rPr>
          <w:rFonts w:ascii="Times New Roman" w:hAnsi="Times New Roman" w:cs="Times New Roman"/>
          <w:b w:val="0"/>
          <w:sz w:val="24"/>
          <w:szCs w:val="24"/>
        </w:rPr>
        <w:tab/>
      </w:r>
      <w:r w:rsidRPr="00C5078D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620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15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 xml:space="preserve"> -</w:t>
      </w:r>
      <w:r w:rsidRPr="00C5078D">
        <w:rPr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Pr="00C5078D">
        <w:rPr>
          <w:rFonts w:ascii="Times New Roman" w:hAnsi="Times New Roman" w:cs="Times New Roman"/>
          <w:b w:val="0"/>
          <w:sz w:val="24"/>
          <w:szCs w:val="24"/>
        </w:rPr>
        <w:t>І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proofErr w:type="spellEnd"/>
    </w:p>
    <w:p w:rsidR="007F494C" w:rsidRPr="00FE1A81" w:rsidRDefault="007F494C" w:rsidP="007F494C">
      <w:pPr>
        <w:pStyle w:val="a3"/>
        <w:rPr>
          <w:sz w:val="28"/>
          <w:szCs w:val="28"/>
        </w:rPr>
      </w:pPr>
    </w:p>
    <w:p w:rsidR="007F494C" w:rsidRDefault="007F494C" w:rsidP="007F494C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Про стан сплати податків, </w:t>
      </w:r>
    </w:p>
    <w:p w:rsidR="007F494C" w:rsidRDefault="007F494C" w:rsidP="007F494C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зборів та  </w:t>
      </w:r>
      <w:r w:rsidRPr="00F36169">
        <w:rPr>
          <w:b/>
          <w:lang w:val="uk-UA"/>
        </w:rPr>
        <w:t>обов’язкових</w:t>
      </w:r>
      <w:r>
        <w:rPr>
          <w:b/>
          <w:bCs/>
          <w:lang w:val="uk-UA"/>
        </w:rPr>
        <w:t xml:space="preserve"> платежів</w:t>
      </w:r>
    </w:p>
    <w:p w:rsidR="007F494C" w:rsidRDefault="007F494C" w:rsidP="007F494C">
      <w:pPr>
        <w:rPr>
          <w:b/>
          <w:bCs/>
          <w:lang w:val="uk-UA"/>
        </w:rPr>
      </w:pPr>
      <w:r>
        <w:rPr>
          <w:b/>
          <w:bCs/>
          <w:lang w:val="uk-UA"/>
        </w:rPr>
        <w:t>до бюджету міста Буча за 1 півріччя 2016 року</w:t>
      </w:r>
    </w:p>
    <w:p w:rsidR="007F494C" w:rsidRPr="00C02F0A" w:rsidRDefault="007F494C" w:rsidP="007F494C">
      <w:pPr>
        <w:rPr>
          <w:b/>
          <w:bCs/>
          <w:lang w:val="uk-UA"/>
        </w:rPr>
      </w:pPr>
    </w:p>
    <w:p w:rsidR="007F494C" w:rsidRDefault="007F494C" w:rsidP="007F494C">
      <w:pPr>
        <w:ind w:firstLine="1080"/>
        <w:jc w:val="both"/>
        <w:rPr>
          <w:sz w:val="26"/>
          <w:szCs w:val="26"/>
          <w:lang w:val="uk-UA"/>
        </w:rPr>
      </w:pPr>
      <w:r w:rsidRPr="00BA4B9B">
        <w:rPr>
          <w:sz w:val="26"/>
          <w:szCs w:val="26"/>
          <w:lang w:val="uk-UA"/>
        </w:rPr>
        <w:t xml:space="preserve">Розглянувши та обговоривши інформацію </w:t>
      </w:r>
      <w:r w:rsidRPr="00C5078D">
        <w:rPr>
          <w:sz w:val="26"/>
          <w:szCs w:val="26"/>
          <w:lang w:val="uk-UA"/>
        </w:rPr>
        <w:t xml:space="preserve">начальника фінансового управління </w:t>
      </w:r>
      <w:proofErr w:type="spellStart"/>
      <w:r w:rsidRPr="00C5078D">
        <w:rPr>
          <w:sz w:val="26"/>
          <w:szCs w:val="26"/>
          <w:lang w:val="uk-UA"/>
        </w:rPr>
        <w:t>Сімон</w:t>
      </w:r>
      <w:proofErr w:type="spellEnd"/>
      <w:r w:rsidRPr="00C5078D">
        <w:rPr>
          <w:sz w:val="26"/>
          <w:szCs w:val="26"/>
          <w:lang w:val="uk-UA"/>
        </w:rPr>
        <w:t xml:space="preserve"> Т.А.</w:t>
      </w:r>
      <w:r>
        <w:rPr>
          <w:sz w:val="26"/>
          <w:szCs w:val="26"/>
          <w:lang w:val="uk-UA"/>
        </w:rPr>
        <w:t xml:space="preserve"> про стан сплати податків, зборів та обов’язкових платежів до бюджету міста Буча за 1 півріччя 2016 року, керуючись ст.26 Закону України «Про місцеве самоврядування в Україні»,  міська рада </w:t>
      </w:r>
    </w:p>
    <w:p w:rsidR="007F494C" w:rsidRDefault="007F494C" w:rsidP="007F494C">
      <w:pPr>
        <w:ind w:firstLine="1080"/>
        <w:jc w:val="both"/>
        <w:rPr>
          <w:sz w:val="26"/>
          <w:szCs w:val="26"/>
          <w:lang w:val="uk-UA"/>
        </w:rPr>
      </w:pPr>
    </w:p>
    <w:p w:rsidR="007F494C" w:rsidRDefault="007F494C" w:rsidP="007F494C">
      <w:pPr>
        <w:ind w:firstLine="1080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>ВИРІШИЛА:</w:t>
      </w:r>
    </w:p>
    <w:p w:rsidR="007F494C" w:rsidRDefault="007F494C" w:rsidP="007F494C">
      <w:pPr>
        <w:ind w:firstLine="1080"/>
        <w:jc w:val="both"/>
        <w:rPr>
          <w:b/>
          <w:sz w:val="26"/>
          <w:szCs w:val="26"/>
          <w:lang w:val="uk-UA"/>
        </w:rPr>
      </w:pPr>
    </w:p>
    <w:p w:rsidR="007F494C" w:rsidRPr="00275B86" w:rsidRDefault="007F494C" w:rsidP="007F494C">
      <w:pPr>
        <w:ind w:firstLine="1080"/>
        <w:jc w:val="both"/>
      </w:pPr>
      <w:r w:rsidRPr="00275B86">
        <w:t xml:space="preserve">1. </w:t>
      </w:r>
      <w:proofErr w:type="spellStart"/>
      <w:r w:rsidRPr="00275B86">
        <w:t>Інформацію</w:t>
      </w:r>
      <w:proofErr w:type="spellEnd"/>
      <w:r w:rsidRPr="00275B86">
        <w:t xml:space="preserve"> про стан </w:t>
      </w:r>
      <w:proofErr w:type="spellStart"/>
      <w:r w:rsidRPr="00275B86">
        <w:t>сплати</w:t>
      </w:r>
      <w:proofErr w:type="spellEnd"/>
      <w:r w:rsidRPr="00275B86">
        <w:t xml:space="preserve"> </w:t>
      </w:r>
      <w:proofErr w:type="spellStart"/>
      <w:r w:rsidRPr="00275B86">
        <w:t>податків</w:t>
      </w:r>
      <w:proofErr w:type="spellEnd"/>
      <w:r w:rsidRPr="00275B86">
        <w:t xml:space="preserve">, </w:t>
      </w:r>
      <w:proofErr w:type="spellStart"/>
      <w:r w:rsidRPr="00275B86">
        <w:t>зборів</w:t>
      </w:r>
      <w:proofErr w:type="spellEnd"/>
      <w:r w:rsidRPr="00275B86">
        <w:t xml:space="preserve"> та </w:t>
      </w:r>
      <w:proofErr w:type="spellStart"/>
      <w:r w:rsidRPr="00275B86">
        <w:t>обов’язкових</w:t>
      </w:r>
      <w:proofErr w:type="spellEnd"/>
      <w:r w:rsidRPr="00275B86">
        <w:t xml:space="preserve"> </w:t>
      </w:r>
      <w:proofErr w:type="spellStart"/>
      <w:r w:rsidRPr="00275B86">
        <w:t>платежів</w:t>
      </w:r>
      <w:proofErr w:type="spellEnd"/>
      <w:r w:rsidRPr="00275B86">
        <w:t xml:space="preserve"> до бюджету </w:t>
      </w:r>
      <w:proofErr w:type="spellStart"/>
      <w:r w:rsidRPr="00275B86">
        <w:t>міста</w:t>
      </w:r>
      <w:proofErr w:type="spellEnd"/>
      <w:r w:rsidRPr="00275B86">
        <w:t xml:space="preserve"> Буча за </w:t>
      </w:r>
      <w:r>
        <w:rPr>
          <w:lang w:val="uk-UA"/>
        </w:rPr>
        <w:t xml:space="preserve">1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івріччя 2016 року</w:t>
      </w:r>
      <w:r w:rsidRPr="00275B86">
        <w:t xml:space="preserve"> </w:t>
      </w:r>
      <w:proofErr w:type="spellStart"/>
      <w:r w:rsidRPr="00275B86">
        <w:t>взяти</w:t>
      </w:r>
      <w:proofErr w:type="spellEnd"/>
      <w:r w:rsidRPr="00275B86">
        <w:t xml:space="preserve"> до </w:t>
      </w:r>
      <w:proofErr w:type="spellStart"/>
      <w:r w:rsidRPr="00275B86">
        <w:t>відома</w:t>
      </w:r>
      <w:proofErr w:type="spellEnd"/>
      <w:r w:rsidRPr="00275B86">
        <w:t xml:space="preserve"> (додаток1).</w:t>
      </w:r>
    </w:p>
    <w:p w:rsidR="007F494C" w:rsidRDefault="007F494C" w:rsidP="007F494C">
      <w:pPr>
        <w:ind w:firstLine="1080"/>
        <w:jc w:val="both"/>
        <w:rPr>
          <w:lang w:val="uk-UA"/>
        </w:rPr>
      </w:pPr>
      <w:r w:rsidRPr="00F90474">
        <w:t xml:space="preserve">2. </w:t>
      </w:r>
      <w:r>
        <w:rPr>
          <w:lang w:val="uk-UA"/>
        </w:rPr>
        <w:t xml:space="preserve">Фінансовому управлінню спільно з </w:t>
      </w:r>
      <w:r>
        <w:t xml:space="preserve"> </w:t>
      </w:r>
      <w:proofErr w:type="spellStart"/>
      <w:r>
        <w:t>Ірпінськ</w:t>
      </w:r>
      <w:r>
        <w:rPr>
          <w:lang w:val="uk-UA"/>
        </w:rPr>
        <w:t>іою</w:t>
      </w:r>
      <w:proofErr w:type="spellEnd"/>
      <w:r>
        <w:t xml:space="preserve"> ОДПІ ГУ ДФС у </w:t>
      </w:r>
      <w:proofErr w:type="spellStart"/>
      <w:r>
        <w:t>Київській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Pr="00A15C3D">
        <w:rPr>
          <w:lang w:val="uk-UA"/>
        </w:rPr>
        <w:t xml:space="preserve"> </w:t>
      </w:r>
      <w:r w:rsidRPr="00F531C4">
        <w:rPr>
          <w:lang w:val="uk-UA"/>
        </w:rPr>
        <w:t>вжити ефективні заходи</w:t>
      </w:r>
      <w:r>
        <w:t xml:space="preserve"> </w:t>
      </w:r>
      <w:r w:rsidRPr="00F531C4">
        <w:rPr>
          <w:lang w:val="uk-UA"/>
        </w:rPr>
        <w:t>щодо:</w:t>
      </w:r>
    </w:p>
    <w:p w:rsidR="007F494C" w:rsidRPr="00F90474" w:rsidRDefault="007F494C" w:rsidP="007F494C">
      <w:pPr>
        <w:ind w:firstLine="1080"/>
        <w:jc w:val="both"/>
      </w:pPr>
      <w:r w:rsidRPr="00F531C4">
        <w:rPr>
          <w:lang w:val="uk-UA"/>
        </w:rPr>
        <w:t xml:space="preserve">- забезпечення щомісячного виконання доходної частини надходжень </w:t>
      </w:r>
      <w:r>
        <w:rPr>
          <w:lang w:val="uk-UA"/>
        </w:rPr>
        <w:t xml:space="preserve">податків та </w:t>
      </w:r>
      <w:r w:rsidRPr="00F531C4">
        <w:rPr>
          <w:lang w:val="uk-UA"/>
        </w:rPr>
        <w:t xml:space="preserve"> зборів до бюджету міста </w:t>
      </w:r>
      <w:proofErr w:type="spellStart"/>
      <w:r w:rsidRPr="00F531C4">
        <w:rPr>
          <w:lang w:val="uk-UA"/>
        </w:rPr>
        <w:t>Бу</w:t>
      </w:r>
      <w:r w:rsidRPr="00F90474">
        <w:t>ча</w:t>
      </w:r>
      <w:proofErr w:type="spellEnd"/>
    </w:p>
    <w:p w:rsidR="007F494C" w:rsidRDefault="007F494C" w:rsidP="007F494C">
      <w:pPr>
        <w:ind w:firstLine="1080"/>
        <w:jc w:val="both"/>
        <w:rPr>
          <w:lang w:val="uk-UA"/>
        </w:rPr>
      </w:pPr>
      <w:r>
        <w:t>-</w:t>
      </w:r>
      <w:r w:rsidRPr="00F90474">
        <w:t xml:space="preserve">  </w:t>
      </w:r>
      <w:proofErr w:type="spellStart"/>
      <w:r w:rsidRPr="00F90474">
        <w:t>покращ</w:t>
      </w:r>
      <w:r>
        <w:t>ення</w:t>
      </w:r>
      <w:proofErr w:type="spellEnd"/>
      <w:r w:rsidRPr="00F90474">
        <w:t xml:space="preserve"> </w:t>
      </w:r>
      <w:proofErr w:type="spellStart"/>
      <w:r w:rsidRPr="00F90474">
        <w:t>результативн</w:t>
      </w:r>
      <w:r>
        <w:t>ос</w:t>
      </w:r>
      <w:r w:rsidRPr="00F90474">
        <w:t>т</w:t>
      </w:r>
      <w:r>
        <w:t>і</w:t>
      </w:r>
      <w:proofErr w:type="spellEnd"/>
      <w:r w:rsidRPr="00F90474">
        <w:t xml:space="preserve"> </w:t>
      </w:r>
      <w:proofErr w:type="spellStart"/>
      <w:r w:rsidRPr="00F90474">
        <w:t>роботи</w:t>
      </w:r>
      <w:proofErr w:type="spellEnd"/>
      <w:r w:rsidRPr="00F90474">
        <w:t xml:space="preserve"> </w:t>
      </w:r>
      <w:proofErr w:type="spellStart"/>
      <w:r w:rsidRPr="00F90474">
        <w:t>щодо</w:t>
      </w:r>
      <w:proofErr w:type="spellEnd"/>
      <w:r w:rsidRPr="00F90474">
        <w:t xml:space="preserve"> </w:t>
      </w:r>
      <w:proofErr w:type="spellStart"/>
      <w:r w:rsidRPr="00F90474">
        <w:t>вишукування</w:t>
      </w:r>
      <w:proofErr w:type="spellEnd"/>
      <w:r w:rsidRPr="00F90474">
        <w:t xml:space="preserve"> </w:t>
      </w:r>
      <w:proofErr w:type="spellStart"/>
      <w:r w:rsidRPr="00F90474">
        <w:t>додаткових</w:t>
      </w:r>
      <w:proofErr w:type="spellEnd"/>
      <w:r w:rsidRPr="00F90474">
        <w:t xml:space="preserve"> </w:t>
      </w:r>
      <w:proofErr w:type="spellStart"/>
      <w:r w:rsidRPr="00F90474">
        <w:t>джерел</w:t>
      </w:r>
      <w:proofErr w:type="spellEnd"/>
      <w:r w:rsidRPr="00F90474">
        <w:t xml:space="preserve"> </w:t>
      </w:r>
      <w:proofErr w:type="spellStart"/>
      <w:r w:rsidRPr="00F90474">
        <w:t>надходжен</w:t>
      </w:r>
      <w:r>
        <w:t>ь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gramStart"/>
      <w:r>
        <w:t>бюджету</w:t>
      </w:r>
      <w:proofErr w:type="gramEnd"/>
      <w:r>
        <w:t xml:space="preserve"> (</w:t>
      </w:r>
      <w:proofErr w:type="spellStart"/>
      <w:r>
        <w:t>викриття</w:t>
      </w:r>
      <w:proofErr w:type="spellEnd"/>
      <w:r>
        <w:t xml:space="preserve"> схем </w:t>
      </w:r>
      <w:proofErr w:type="spellStart"/>
      <w:r>
        <w:t>ухил</w:t>
      </w:r>
      <w:r w:rsidRPr="00F90474">
        <w:t>ення</w:t>
      </w:r>
      <w:proofErr w:type="spellEnd"/>
      <w:r w:rsidRPr="00F90474">
        <w:t xml:space="preserve"> </w:t>
      </w:r>
      <w:proofErr w:type="spellStart"/>
      <w:r w:rsidRPr="00F90474">
        <w:t>від</w:t>
      </w:r>
      <w:proofErr w:type="spellEnd"/>
      <w:r w:rsidRPr="00F90474">
        <w:t xml:space="preserve"> </w:t>
      </w:r>
      <w:proofErr w:type="spellStart"/>
      <w:r w:rsidRPr="00F90474">
        <w:t>сплати</w:t>
      </w:r>
      <w:proofErr w:type="spellEnd"/>
      <w:r w:rsidRPr="00F90474">
        <w:t xml:space="preserve"> </w:t>
      </w:r>
      <w:proofErr w:type="spellStart"/>
      <w:r w:rsidRPr="00F90474">
        <w:t>податків</w:t>
      </w:r>
      <w:proofErr w:type="spellEnd"/>
      <w:r w:rsidRPr="00F90474">
        <w:t xml:space="preserve">, </w:t>
      </w:r>
      <w:proofErr w:type="spellStart"/>
      <w:r w:rsidRPr="00F90474">
        <w:t>посил</w:t>
      </w:r>
      <w:r>
        <w:t>ення</w:t>
      </w:r>
      <w:proofErr w:type="spellEnd"/>
      <w:r w:rsidRPr="00F90474">
        <w:t xml:space="preserve"> </w:t>
      </w:r>
      <w:proofErr w:type="spellStart"/>
      <w:r w:rsidRPr="00F90474">
        <w:t>робот</w:t>
      </w:r>
      <w:r>
        <w:t>и</w:t>
      </w:r>
      <w:proofErr w:type="spellEnd"/>
      <w:r w:rsidRPr="00F90474">
        <w:t xml:space="preserve"> </w:t>
      </w:r>
      <w:proofErr w:type="spellStart"/>
      <w:r w:rsidRPr="00F90474">
        <w:t>з</w:t>
      </w:r>
      <w:proofErr w:type="spellEnd"/>
      <w:r w:rsidRPr="00F90474">
        <w:t xml:space="preserve"> </w:t>
      </w:r>
      <w:proofErr w:type="spellStart"/>
      <w:r w:rsidRPr="00F90474">
        <w:t>детінізації</w:t>
      </w:r>
      <w:proofErr w:type="spellEnd"/>
      <w:r w:rsidRPr="00F90474">
        <w:t xml:space="preserve"> </w:t>
      </w:r>
      <w:proofErr w:type="spellStart"/>
      <w:r w:rsidRPr="00F90474">
        <w:t>доходів</w:t>
      </w:r>
      <w:proofErr w:type="spellEnd"/>
      <w:r w:rsidRPr="00F90474">
        <w:t xml:space="preserve"> </w:t>
      </w:r>
      <w:proofErr w:type="spellStart"/>
      <w:r w:rsidRPr="00F90474">
        <w:t>працівників</w:t>
      </w:r>
      <w:proofErr w:type="spellEnd"/>
      <w:r w:rsidRPr="00F90474">
        <w:t xml:space="preserve">, </w:t>
      </w:r>
      <w:proofErr w:type="spellStart"/>
      <w:r w:rsidRPr="00F90474">
        <w:t>скорочення</w:t>
      </w:r>
      <w:proofErr w:type="spellEnd"/>
      <w:r w:rsidRPr="00F90474">
        <w:t xml:space="preserve"> </w:t>
      </w:r>
      <w:proofErr w:type="spellStart"/>
      <w:r w:rsidRPr="00F90474">
        <w:t>податкового</w:t>
      </w:r>
      <w:proofErr w:type="spellEnd"/>
      <w:r w:rsidRPr="00F90474">
        <w:t xml:space="preserve"> боргу та </w:t>
      </w:r>
      <w:proofErr w:type="spellStart"/>
      <w:r w:rsidRPr="00F90474">
        <w:t>ін</w:t>
      </w:r>
      <w:proofErr w:type="spellEnd"/>
      <w:r w:rsidRPr="00F90474">
        <w:t>.)</w:t>
      </w:r>
    </w:p>
    <w:p w:rsidR="007F494C" w:rsidRPr="00DA7F68" w:rsidRDefault="007F494C" w:rsidP="007F494C">
      <w:pPr>
        <w:ind w:firstLine="1080"/>
        <w:jc w:val="both"/>
        <w:rPr>
          <w:lang w:val="uk-UA"/>
        </w:rPr>
      </w:pPr>
      <w:r>
        <w:t>3.</w:t>
      </w:r>
      <w:r w:rsidRPr="00DA7F68">
        <w:t xml:space="preserve"> Контроль за </w:t>
      </w:r>
      <w:proofErr w:type="spellStart"/>
      <w:r w:rsidRPr="00DA7F68">
        <w:t>виконан</w:t>
      </w:r>
      <w:proofErr w:type="spellEnd"/>
      <w:r>
        <w:rPr>
          <w:lang w:val="uk-UA"/>
        </w:rPr>
        <w:t>н</w:t>
      </w:r>
      <w:r w:rsidRPr="00DA7F68">
        <w:t xml:space="preserve">ям </w:t>
      </w:r>
      <w:proofErr w:type="spellStart"/>
      <w:r w:rsidRPr="00DA7F68">
        <w:t>даного</w:t>
      </w:r>
      <w:proofErr w:type="spellEnd"/>
      <w:r w:rsidRPr="00DA7F68">
        <w:t xml:space="preserve"> </w:t>
      </w:r>
      <w:proofErr w:type="spellStart"/>
      <w:proofErr w:type="gramStart"/>
      <w:r w:rsidRPr="00DA7F68">
        <w:t>р</w:t>
      </w:r>
      <w:proofErr w:type="gramEnd"/>
      <w:r w:rsidRPr="00DA7F68">
        <w:t>ішен</w:t>
      </w:r>
      <w:proofErr w:type="spellEnd"/>
      <w:r>
        <w:rPr>
          <w:lang w:val="uk-UA"/>
        </w:rPr>
        <w:t>н</w:t>
      </w:r>
      <w:r w:rsidRPr="00DA7F68">
        <w:t xml:space="preserve">я </w:t>
      </w:r>
      <w:r w:rsidRPr="00DA7F68">
        <w:rPr>
          <w:lang w:val="uk-UA"/>
        </w:rPr>
        <w:t>покласти на комісію з</w:t>
      </w:r>
      <w:r>
        <w:rPr>
          <w:lang w:val="uk-UA"/>
        </w:rPr>
        <w:t xml:space="preserve"> питань соціально-економічного розвитку, підприємництва, житлово-комунального господарства, бюджету, фінансів та інвестування</w:t>
      </w:r>
      <w:r w:rsidRPr="00DA7F68">
        <w:t>.</w:t>
      </w:r>
    </w:p>
    <w:p w:rsidR="007F494C" w:rsidRDefault="007F494C" w:rsidP="007F494C">
      <w:pPr>
        <w:ind w:firstLine="1080"/>
        <w:jc w:val="both"/>
        <w:rPr>
          <w:sz w:val="26"/>
          <w:szCs w:val="26"/>
          <w:lang w:val="uk-UA"/>
        </w:rPr>
      </w:pPr>
    </w:p>
    <w:p w:rsidR="007F494C" w:rsidRDefault="007F494C" w:rsidP="007F494C">
      <w:pPr>
        <w:ind w:firstLine="1080"/>
        <w:jc w:val="both"/>
        <w:rPr>
          <w:sz w:val="26"/>
          <w:szCs w:val="26"/>
          <w:lang w:val="uk-UA"/>
        </w:rPr>
      </w:pPr>
    </w:p>
    <w:p w:rsidR="007F494C" w:rsidRPr="00D440EF" w:rsidRDefault="007F494C" w:rsidP="007F494C">
      <w:pPr>
        <w:ind w:firstLine="1080"/>
        <w:jc w:val="both"/>
        <w:rPr>
          <w:sz w:val="26"/>
          <w:szCs w:val="26"/>
          <w:lang w:val="uk-UA"/>
        </w:rPr>
      </w:pPr>
    </w:p>
    <w:p w:rsidR="00F75C77" w:rsidRPr="00703FCA" w:rsidRDefault="00F75C77" w:rsidP="00F75C77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7F494C" w:rsidRDefault="007F494C">
      <w:pPr>
        <w:spacing w:after="200" w:line="276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7F494C" w:rsidRPr="004E213B" w:rsidRDefault="007F494C" w:rsidP="007F494C">
      <w:pPr>
        <w:tabs>
          <w:tab w:val="left" w:pos="1530"/>
        </w:tabs>
        <w:ind w:firstLine="900"/>
        <w:jc w:val="center"/>
        <w:rPr>
          <w:b/>
          <w:i/>
          <w:sz w:val="28"/>
          <w:szCs w:val="28"/>
          <w:lang w:val="uk-UA"/>
        </w:rPr>
      </w:pPr>
      <w:r w:rsidRPr="004E213B">
        <w:rPr>
          <w:b/>
          <w:i/>
          <w:sz w:val="28"/>
          <w:szCs w:val="28"/>
          <w:lang w:val="uk-UA"/>
        </w:rPr>
        <w:lastRenderedPageBreak/>
        <w:t>ІНФОРМАЦІЯ</w:t>
      </w:r>
    </w:p>
    <w:p w:rsidR="007F494C" w:rsidRPr="004E213B" w:rsidRDefault="007F494C" w:rsidP="007F494C">
      <w:pPr>
        <w:tabs>
          <w:tab w:val="left" w:pos="1530"/>
        </w:tabs>
        <w:ind w:firstLine="900"/>
        <w:jc w:val="center"/>
        <w:rPr>
          <w:b/>
          <w:i/>
          <w:sz w:val="28"/>
          <w:szCs w:val="28"/>
          <w:lang w:val="uk-UA"/>
        </w:rPr>
      </w:pPr>
      <w:r w:rsidRPr="004E213B">
        <w:rPr>
          <w:b/>
          <w:i/>
          <w:sz w:val="28"/>
          <w:szCs w:val="28"/>
          <w:lang w:val="uk-UA"/>
        </w:rPr>
        <w:t>про стан сплати податків, зборів та обов’язкових платежів</w:t>
      </w:r>
    </w:p>
    <w:p w:rsidR="007F494C" w:rsidRPr="004E213B" w:rsidRDefault="007F494C" w:rsidP="007F494C">
      <w:pPr>
        <w:tabs>
          <w:tab w:val="left" w:pos="1530"/>
        </w:tabs>
        <w:ind w:firstLine="900"/>
        <w:jc w:val="center"/>
        <w:rPr>
          <w:b/>
          <w:i/>
          <w:sz w:val="28"/>
          <w:szCs w:val="28"/>
          <w:lang w:val="uk-UA"/>
        </w:rPr>
      </w:pPr>
      <w:r w:rsidRPr="004E213B">
        <w:rPr>
          <w:b/>
          <w:i/>
          <w:sz w:val="28"/>
          <w:szCs w:val="28"/>
          <w:lang w:val="uk-UA"/>
        </w:rPr>
        <w:t xml:space="preserve">до бюджету міста Буча за </w:t>
      </w:r>
      <w:r w:rsidRPr="004E213B">
        <w:rPr>
          <w:b/>
          <w:sz w:val="28"/>
          <w:szCs w:val="28"/>
          <w:lang w:val="uk-UA"/>
        </w:rPr>
        <w:t xml:space="preserve">  </w:t>
      </w:r>
      <w:r>
        <w:rPr>
          <w:b/>
          <w:i/>
          <w:sz w:val="28"/>
          <w:szCs w:val="28"/>
          <w:lang w:val="uk-UA"/>
        </w:rPr>
        <w:t>1 півріччя</w:t>
      </w:r>
      <w:r w:rsidRPr="004E213B">
        <w:rPr>
          <w:b/>
          <w:i/>
          <w:sz w:val="28"/>
          <w:szCs w:val="28"/>
          <w:lang w:val="uk-UA"/>
        </w:rPr>
        <w:t xml:space="preserve"> 2016 року</w:t>
      </w:r>
    </w:p>
    <w:p w:rsidR="007F494C" w:rsidRDefault="007F494C" w:rsidP="007F494C">
      <w:pPr>
        <w:tabs>
          <w:tab w:val="left" w:pos="1530"/>
          <w:tab w:val="left" w:pos="3210"/>
          <w:tab w:val="center" w:pos="5127"/>
        </w:tabs>
        <w:ind w:firstLine="900"/>
        <w:jc w:val="center"/>
        <w:rPr>
          <w:b/>
          <w:i/>
          <w:lang w:val="uk-UA"/>
        </w:rPr>
      </w:pPr>
      <w:r w:rsidRPr="007C1928">
        <w:rPr>
          <w:b/>
          <w:i/>
          <w:lang w:val="uk-UA"/>
        </w:rPr>
        <w:t>Загальний фонд</w:t>
      </w:r>
    </w:p>
    <w:p w:rsidR="007F494C" w:rsidRPr="00390C7E" w:rsidRDefault="007F494C" w:rsidP="007F494C">
      <w:pPr>
        <w:tabs>
          <w:tab w:val="left" w:pos="1530"/>
          <w:tab w:val="left" w:pos="3210"/>
          <w:tab w:val="center" w:pos="5127"/>
        </w:tabs>
        <w:ind w:firstLine="900"/>
        <w:jc w:val="center"/>
        <w:rPr>
          <w:lang w:val="uk-UA"/>
        </w:rPr>
      </w:pPr>
    </w:p>
    <w:p w:rsidR="007F494C" w:rsidRDefault="007F494C" w:rsidP="007F494C">
      <w:pPr>
        <w:ind w:firstLine="900"/>
        <w:jc w:val="both"/>
        <w:rPr>
          <w:lang w:val="uk-UA"/>
        </w:rPr>
      </w:pPr>
      <w:r w:rsidRPr="00390C7E">
        <w:rPr>
          <w:lang w:val="uk-UA"/>
        </w:rPr>
        <w:t>Бюджет міста Буча за 1 півріччя 20</w:t>
      </w:r>
      <w:r w:rsidRPr="00390C7E">
        <w:t>1</w:t>
      </w:r>
      <w:r w:rsidRPr="00390C7E">
        <w:rPr>
          <w:lang w:val="uk-UA"/>
        </w:rPr>
        <w:t xml:space="preserve">6 року  по доходах загального фонду (не враховуючи офіційні трансферти) виконано на 140,0 %, що на 24443,2 тис. грн. більше проти факту за відповідний період минулого року. Темп росту складає 171,0%. </w:t>
      </w:r>
    </w:p>
    <w:p w:rsidR="007F494C" w:rsidRPr="00390C7E" w:rsidRDefault="007F494C" w:rsidP="007F494C">
      <w:pPr>
        <w:ind w:firstLine="900"/>
        <w:jc w:val="both"/>
        <w:rPr>
          <w:lang w:val="uk-UA"/>
        </w:rPr>
      </w:pPr>
      <w:r w:rsidRPr="00390C7E">
        <w:rPr>
          <w:lang w:val="uk-UA"/>
        </w:rPr>
        <w:t xml:space="preserve">При уточненому плані по доходах на  1 півріччя 2016 року – 42053,1 тис. грн. надійшло – 58873,3 тис. грн., що на 16820,1 тис. </w:t>
      </w:r>
      <w:proofErr w:type="spellStart"/>
      <w:r w:rsidRPr="00390C7E">
        <w:rPr>
          <w:lang w:val="uk-UA"/>
        </w:rPr>
        <w:t>грн</w:t>
      </w:r>
      <w:proofErr w:type="spellEnd"/>
      <w:r w:rsidRPr="00390C7E">
        <w:rPr>
          <w:lang w:val="uk-UA"/>
        </w:rPr>
        <w:t xml:space="preserve"> більше планових призначень. (Додаток 1)</w:t>
      </w:r>
    </w:p>
    <w:p w:rsidR="007F494C" w:rsidRPr="00390C7E" w:rsidRDefault="007F494C" w:rsidP="007F494C">
      <w:pPr>
        <w:ind w:firstLine="900"/>
        <w:jc w:val="both"/>
        <w:rPr>
          <w:lang w:val="uk-UA"/>
        </w:rPr>
      </w:pPr>
    </w:p>
    <w:p w:rsidR="007F494C" w:rsidRPr="00390C7E" w:rsidRDefault="008141FA" w:rsidP="007F494C">
      <w:pPr>
        <w:pStyle w:val="a8"/>
        <w:spacing w:line="288" w:lineRule="auto"/>
        <w:ind w:left="0" w:right="-2" w:firstLine="720"/>
        <w:jc w:val="center"/>
      </w:pPr>
      <w:r>
        <w:rPr>
          <w:noProof/>
          <w:lang w:eastAsia="uk-UA"/>
        </w:rPr>
        <w:pict>
          <v:line id="_x0000_s1026" style="position:absolute;left:0;text-align:left;z-index:251660288" from="207pt,156.9pt" to="3in,318.9pt" strokeweight="3pt">
            <v:stroke endarrow="block"/>
          </v:line>
        </w:pict>
      </w:r>
      <w:r w:rsidR="007F494C">
        <w:rPr>
          <w:noProof/>
        </w:rPr>
        <w:drawing>
          <wp:inline distT="0" distB="0" distL="0" distR="0">
            <wp:extent cx="5610225" cy="33528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494C" w:rsidRPr="00390C7E" w:rsidRDefault="007F494C" w:rsidP="007F494C">
      <w:pPr>
        <w:pStyle w:val="a8"/>
        <w:spacing w:line="288" w:lineRule="auto"/>
        <w:ind w:left="0" w:right="-2" w:firstLine="720"/>
        <w:jc w:val="center"/>
      </w:pPr>
    </w:p>
    <w:p w:rsidR="007F494C" w:rsidRPr="00390C7E" w:rsidRDefault="007F494C" w:rsidP="007F494C">
      <w:pPr>
        <w:pStyle w:val="a8"/>
        <w:spacing w:line="288" w:lineRule="auto"/>
        <w:ind w:left="0" w:right="-2" w:firstLine="720"/>
        <w:jc w:val="center"/>
      </w:pPr>
    </w:p>
    <w:p w:rsidR="007F494C" w:rsidRPr="00390C7E" w:rsidRDefault="007F494C" w:rsidP="007F494C">
      <w:pPr>
        <w:pStyle w:val="a8"/>
        <w:spacing w:line="288" w:lineRule="auto"/>
        <w:ind w:left="0" w:right="-2" w:firstLine="720"/>
        <w:jc w:val="center"/>
      </w:pPr>
      <w:r>
        <w:rPr>
          <w:noProof/>
        </w:rPr>
        <w:drawing>
          <wp:inline distT="0" distB="0" distL="0" distR="0">
            <wp:extent cx="5610225" cy="279082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494C" w:rsidRPr="00390C7E" w:rsidRDefault="007F494C" w:rsidP="007F494C">
      <w:pPr>
        <w:ind w:firstLine="900"/>
        <w:jc w:val="both"/>
        <w:rPr>
          <w:lang w:val="uk-UA"/>
        </w:rPr>
      </w:pPr>
      <w:r w:rsidRPr="00390C7E">
        <w:rPr>
          <w:lang w:val="uk-UA"/>
        </w:rPr>
        <w:lastRenderedPageBreak/>
        <w:t xml:space="preserve">Основним  джерелом надходжень доходів являється  податок на майно, податок та збір на доходи фізичних осіб, акцизний податок та єдиний податок що складає відповідно 38%, 30%, 16% та 15% від загального обсягу надходжень доходів загального фонду бюджету міста .  </w:t>
      </w:r>
    </w:p>
    <w:p w:rsidR="007F494C" w:rsidRPr="007F494C" w:rsidRDefault="007F494C" w:rsidP="007F494C">
      <w:pPr>
        <w:pStyle w:val="a8"/>
        <w:ind w:left="0" w:right="-2" w:firstLine="822"/>
        <w:jc w:val="both"/>
        <w:rPr>
          <w:lang w:val="uk-UA"/>
        </w:rPr>
      </w:pPr>
      <w:r w:rsidRPr="007F494C">
        <w:rPr>
          <w:lang w:val="uk-UA"/>
        </w:rPr>
        <w:t xml:space="preserve">Протягом 1 півріччя 2016 року до загального фонду міського бюджету </w:t>
      </w:r>
      <w:proofErr w:type="spellStart"/>
      <w:r w:rsidRPr="007F494C">
        <w:rPr>
          <w:lang w:val="uk-UA"/>
        </w:rPr>
        <w:t>м.Буча</w:t>
      </w:r>
      <w:proofErr w:type="spellEnd"/>
      <w:r w:rsidRPr="007F494C">
        <w:rPr>
          <w:lang w:val="uk-UA"/>
        </w:rPr>
        <w:t xml:space="preserve"> надійшло 58873,3 </w:t>
      </w:r>
      <w:proofErr w:type="spellStart"/>
      <w:r w:rsidRPr="007F494C">
        <w:rPr>
          <w:lang w:val="uk-UA"/>
        </w:rPr>
        <w:t>тис.грн</w:t>
      </w:r>
      <w:proofErr w:type="spellEnd"/>
      <w:r w:rsidRPr="007F494C">
        <w:rPr>
          <w:lang w:val="uk-UA"/>
        </w:rPr>
        <w:t xml:space="preserve">., в тому числі: 17766,5 тис. грн. податку на доходи фізичних осіб (126 % до уточненого плану на 6 місяців), 22120,6 </w:t>
      </w:r>
      <w:proofErr w:type="spellStart"/>
      <w:r w:rsidRPr="007F494C">
        <w:rPr>
          <w:lang w:val="uk-UA"/>
        </w:rPr>
        <w:t>тис.грн</w:t>
      </w:r>
      <w:proofErr w:type="spellEnd"/>
      <w:r w:rsidRPr="007F494C">
        <w:rPr>
          <w:lang w:val="uk-UA"/>
        </w:rPr>
        <w:t xml:space="preserve">. податку на майно (140%), 9843,3 </w:t>
      </w:r>
      <w:proofErr w:type="spellStart"/>
      <w:r w:rsidRPr="007F494C">
        <w:rPr>
          <w:lang w:val="uk-UA"/>
        </w:rPr>
        <w:t>тис.грн</w:t>
      </w:r>
      <w:proofErr w:type="spellEnd"/>
      <w:r w:rsidRPr="007F494C">
        <w:rPr>
          <w:lang w:val="uk-UA"/>
        </w:rPr>
        <w:t xml:space="preserve">. акцизного податку з реалізації суб’єктами  господарювання роздрібної торгівлі підакцизними товарами (151 %), 104,0 </w:t>
      </w:r>
      <w:proofErr w:type="spellStart"/>
      <w:r w:rsidRPr="007F494C">
        <w:rPr>
          <w:lang w:val="uk-UA"/>
        </w:rPr>
        <w:t>тис.грн</w:t>
      </w:r>
      <w:proofErr w:type="spellEnd"/>
      <w:r w:rsidRPr="007F494C">
        <w:rPr>
          <w:lang w:val="uk-UA"/>
        </w:rPr>
        <w:t xml:space="preserve">. державного мита (102%), 8658,4 </w:t>
      </w:r>
      <w:proofErr w:type="spellStart"/>
      <w:r w:rsidRPr="007F494C">
        <w:rPr>
          <w:lang w:val="uk-UA"/>
        </w:rPr>
        <w:t>тис.грн</w:t>
      </w:r>
      <w:proofErr w:type="spellEnd"/>
      <w:r w:rsidRPr="007F494C">
        <w:rPr>
          <w:lang w:val="uk-UA"/>
        </w:rPr>
        <w:t xml:space="preserve"> єдиного податку (158%),  380,5 </w:t>
      </w:r>
      <w:proofErr w:type="spellStart"/>
      <w:r w:rsidRPr="007F494C">
        <w:rPr>
          <w:lang w:val="uk-UA"/>
        </w:rPr>
        <w:t>тис.грн</w:t>
      </w:r>
      <w:proofErr w:type="spellEnd"/>
      <w:r w:rsidRPr="007F494C">
        <w:rPr>
          <w:lang w:val="uk-UA"/>
        </w:rPr>
        <w:t>. інших платежів.</w:t>
      </w:r>
    </w:p>
    <w:p w:rsidR="007F494C" w:rsidRPr="00390C7E" w:rsidRDefault="007F494C" w:rsidP="007F494C">
      <w:pPr>
        <w:ind w:firstLine="822"/>
        <w:jc w:val="both"/>
        <w:rPr>
          <w:lang w:val="uk-UA"/>
        </w:rPr>
      </w:pPr>
      <w:r w:rsidRPr="00390C7E">
        <w:rPr>
          <w:lang w:val="uk-UA"/>
        </w:rPr>
        <w:t xml:space="preserve"> Офіційних трансфертів у 1 півріччі 2016 року отримано в розмірі 61186,8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., в тому числі:  базова дотація – 1067,4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., субвенції – 60119,4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>.</w:t>
      </w:r>
    </w:p>
    <w:p w:rsidR="007F494C" w:rsidRPr="00390C7E" w:rsidRDefault="007F494C" w:rsidP="007F494C">
      <w:pPr>
        <w:tabs>
          <w:tab w:val="left" w:pos="0"/>
        </w:tabs>
        <w:jc w:val="both"/>
        <w:rPr>
          <w:lang w:val="uk-UA"/>
        </w:rPr>
      </w:pPr>
    </w:p>
    <w:p w:rsidR="007F494C" w:rsidRPr="00390C7E" w:rsidRDefault="007F494C" w:rsidP="007F494C">
      <w:pPr>
        <w:pStyle w:val="a8"/>
        <w:ind w:left="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219825" cy="294322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494C" w:rsidRPr="00390C7E" w:rsidRDefault="007F494C" w:rsidP="007F494C">
      <w:pPr>
        <w:ind w:firstLine="900"/>
        <w:jc w:val="both"/>
        <w:rPr>
          <w:lang w:val="uk-UA"/>
        </w:rPr>
      </w:pPr>
    </w:p>
    <w:p w:rsidR="007F494C" w:rsidRPr="00390C7E" w:rsidRDefault="007F494C" w:rsidP="007F494C">
      <w:pPr>
        <w:ind w:firstLine="900"/>
        <w:jc w:val="both"/>
        <w:rPr>
          <w:bCs/>
          <w:lang w:val="uk-UA"/>
        </w:rPr>
      </w:pPr>
      <w:r w:rsidRPr="00390C7E">
        <w:rPr>
          <w:lang w:val="uk-UA"/>
        </w:rPr>
        <w:t>До податку на майно входять: податок на нерухоме майно, відмінне від земельної ділянки, плата за землю та транспортний податок.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bCs/>
          <w:lang w:val="uk-UA"/>
        </w:rPr>
      </w:pPr>
      <w:r w:rsidRPr="00390C7E">
        <w:rPr>
          <w:bCs/>
          <w:lang w:val="uk-UA"/>
        </w:rPr>
        <w:t xml:space="preserve">Податку на нерухоме майно надійшло 1167,3 </w:t>
      </w:r>
      <w:proofErr w:type="spellStart"/>
      <w:r w:rsidRPr="00390C7E">
        <w:rPr>
          <w:bCs/>
          <w:lang w:val="uk-UA"/>
        </w:rPr>
        <w:t>тис.грн</w:t>
      </w:r>
      <w:proofErr w:type="spellEnd"/>
      <w:r w:rsidRPr="00390C7E">
        <w:rPr>
          <w:bCs/>
          <w:lang w:val="uk-UA"/>
        </w:rPr>
        <w:t xml:space="preserve">, що на 656,2 </w:t>
      </w:r>
      <w:proofErr w:type="spellStart"/>
      <w:r w:rsidRPr="00390C7E">
        <w:rPr>
          <w:bCs/>
          <w:lang w:val="uk-UA"/>
        </w:rPr>
        <w:t>тис.грн</w:t>
      </w:r>
      <w:proofErr w:type="spellEnd"/>
      <w:r w:rsidRPr="00390C7E">
        <w:rPr>
          <w:bCs/>
          <w:lang w:val="uk-UA"/>
        </w:rPr>
        <w:t xml:space="preserve"> більше ніж за відповідний період минулого року. Темп росту складає 228% </w:t>
      </w:r>
      <w:r w:rsidRPr="00390C7E">
        <w:rPr>
          <w:lang w:val="uk-UA"/>
        </w:rPr>
        <w:t>за рахунок підвищення розміру мінімальної заробітної плати з якої розраховується ставка податку на нерухомість</w:t>
      </w:r>
      <w:r>
        <w:rPr>
          <w:lang w:val="uk-UA"/>
        </w:rPr>
        <w:t>.</w:t>
      </w:r>
    </w:p>
    <w:p w:rsidR="007F494C" w:rsidRPr="00390C7E" w:rsidRDefault="007F494C" w:rsidP="007F494C">
      <w:pPr>
        <w:ind w:firstLine="900"/>
        <w:jc w:val="both"/>
        <w:rPr>
          <w:lang w:val="uk-UA"/>
        </w:rPr>
      </w:pPr>
      <w:r w:rsidRPr="00390C7E">
        <w:rPr>
          <w:lang w:val="uk-UA"/>
        </w:rPr>
        <w:t xml:space="preserve">За 1 півріччя 2016 року плата за землю надійшла в сумі 20835,0 тис. грн., що на 5881,3 тис. грн. більше проти затвердженого плану по цьому виду податку  на відповідний період та становить 139 % виконання. Порівнюючи  надходження плати за землю за 2016 рік   з відповідним періодом 2015 року,  надходження по цьому  виду податку збільшилися на 9434,6 тис. грн. (додаток 1). Темп росту складає 183% за рахунок затвердження нової нормативної грошової оцінки земель </w:t>
      </w:r>
      <w:proofErr w:type="spellStart"/>
      <w:r w:rsidRPr="00390C7E">
        <w:rPr>
          <w:lang w:val="uk-UA"/>
        </w:rPr>
        <w:t>м.Буча</w:t>
      </w:r>
      <w:proofErr w:type="spellEnd"/>
      <w:r w:rsidRPr="00390C7E">
        <w:rPr>
          <w:lang w:val="uk-UA"/>
        </w:rPr>
        <w:t xml:space="preserve"> відповідно до вимог Податкового кодексу України, Закону України «Про оцінку земель» та проведення індексації нормативної грошової оцінки землі на 1,433;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  <w:r w:rsidRPr="00390C7E">
        <w:rPr>
          <w:lang w:val="uk-UA"/>
        </w:rPr>
        <w:t xml:space="preserve">Транспортного податку протягом 6 місяців 2016 року надійшло 118,3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., що на 112,1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 більше, порівнюючи з відповідним періодом минулого року.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b/>
          <w:lang w:val="uk-UA"/>
        </w:rPr>
      </w:pPr>
      <w:r w:rsidRPr="00390C7E">
        <w:rPr>
          <w:lang w:val="uk-UA"/>
        </w:rPr>
        <w:t xml:space="preserve">За 1 півріччя 2016 року податку та збору на доходи фізичних осіб  надійшло в сумі  17766,5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., що на 3678,2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 більше проти уточненого плану по цьому виду податку на відповідний період і складає 126% виконання.  Темп росту складає 146 % за рахунок: </w:t>
      </w:r>
    </w:p>
    <w:p w:rsidR="007F494C" w:rsidRPr="00390C7E" w:rsidRDefault="007F494C" w:rsidP="007F494C">
      <w:pPr>
        <w:pStyle w:val="2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lang w:val="uk-UA"/>
        </w:rPr>
      </w:pPr>
      <w:r w:rsidRPr="00390C7E">
        <w:rPr>
          <w:bCs/>
          <w:lang w:val="uk-UA"/>
        </w:rPr>
        <w:lastRenderedPageBreak/>
        <w:t xml:space="preserve">застосування підвищеної ставки (з 15% до 18%) </w:t>
      </w:r>
      <w:r w:rsidRPr="00390C7E">
        <w:rPr>
          <w:lang w:val="uk-UA"/>
        </w:rPr>
        <w:t>оподаткування доходів фізичних осіб;</w:t>
      </w:r>
    </w:p>
    <w:p w:rsidR="007F494C" w:rsidRPr="00390C7E" w:rsidRDefault="007F494C" w:rsidP="007F494C">
      <w:pPr>
        <w:pStyle w:val="21"/>
        <w:numPr>
          <w:ilvl w:val="0"/>
          <w:numId w:val="3"/>
        </w:numPr>
        <w:tabs>
          <w:tab w:val="left" w:pos="993"/>
        </w:tabs>
        <w:spacing w:after="0" w:line="240" w:lineRule="auto"/>
        <w:ind w:hanging="720"/>
        <w:jc w:val="both"/>
        <w:rPr>
          <w:bCs/>
          <w:lang w:val="uk-UA"/>
        </w:rPr>
      </w:pPr>
      <w:r w:rsidRPr="00390C7E">
        <w:rPr>
          <w:lang w:val="uk-UA"/>
        </w:rPr>
        <w:t>підвищення мінімальної заробітної плати;</w:t>
      </w:r>
    </w:p>
    <w:p w:rsidR="007F494C" w:rsidRPr="00390C7E" w:rsidRDefault="007F494C" w:rsidP="007F494C">
      <w:pPr>
        <w:pStyle w:val="21"/>
        <w:numPr>
          <w:ilvl w:val="0"/>
          <w:numId w:val="3"/>
        </w:numPr>
        <w:tabs>
          <w:tab w:val="left" w:pos="993"/>
        </w:tabs>
        <w:spacing w:after="0" w:line="264" w:lineRule="auto"/>
        <w:ind w:left="0" w:firstLine="709"/>
        <w:jc w:val="both"/>
        <w:rPr>
          <w:bCs/>
        </w:rPr>
      </w:pPr>
      <w:proofErr w:type="spellStart"/>
      <w:r w:rsidRPr="00390C7E">
        <w:rPr>
          <w:bCs/>
          <w:lang w:val="uk-UA"/>
        </w:rPr>
        <w:t>ст</w:t>
      </w:r>
      <w:r w:rsidRPr="00390C7E">
        <w:rPr>
          <w:bCs/>
        </w:rPr>
        <w:t>авку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податку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щодо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оподаткування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пенсій</w:t>
      </w:r>
      <w:proofErr w:type="spellEnd"/>
      <w:r w:rsidRPr="00390C7E">
        <w:rPr>
          <w:bCs/>
        </w:rPr>
        <w:t xml:space="preserve">, </w:t>
      </w:r>
      <w:proofErr w:type="spellStart"/>
      <w:r w:rsidRPr="00390C7E">
        <w:rPr>
          <w:bCs/>
        </w:rPr>
        <w:t>що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перевищують</w:t>
      </w:r>
      <w:proofErr w:type="spellEnd"/>
      <w:r w:rsidRPr="00390C7E">
        <w:rPr>
          <w:bCs/>
        </w:rPr>
        <w:t xml:space="preserve"> 3 </w:t>
      </w:r>
      <w:proofErr w:type="spellStart"/>
      <w:r w:rsidRPr="00390C7E">
        <w:rPr>
          <w:bCs/>
        </w:rPr>
        <w:t>мінімальні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заробітні</w:t>
      </w:r>
      <w:proofErr w:type="spellEnd"/>
      <w:r w:rsidRPr="00390C7E">
        <w:rPr>
          <w:bCs/>
        </w:rPr>
        <w:t xml:space="preserve"> плати, </w:t>
      </w:r>
      <w:proofErr w:type="spellStart"/>
      <w:r w:rsidRPr="00390C7E">
        <w:rPr>
          <w:bCs/>
        </w:rPr>
        <w:t>залишено</w:t>
      </w:r>
      <w:proofErr w:type="spellEnd"/>
      <w:r w:rsidRPr="00390C7E">
        <w:rPr>
          <w:bCs/>
        </w:rPr>
        <w:t xml:space="preserve"> без </w:t>
      </w:r>
      <w:proofErr w:type="spellStart"/>
      <w:r w:rsidRPr="00390C7E">
        <w:rPr>
          <w:bCs/>
        </w:rPr>
        <w:t>змін</w:t>
      </w:r>
      <w:proofErr w:type="spellEnd"/>
      <w:r w:rsidRPr="00390C7E">
        <w:rPr>
          <w:bCs/>
        </w:rPr>
        <w:t xml:space="preserve"> (15%);</w:t>
      </w:r>
    </w:p>
    <w:p w:rsidR="007F494C" w:rsidRPr="00390C7E" w:rsidRDefault="007F494C" w:rsidP="007F494C">
      <w:pPr>
        <w:pStyle w:val="21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proofErr w:type="spellStart"/>
      <w:r w:rsidRPr="00390C7E">
        <w:rPr>
          <w:bCs/>
        </w:rPr>
        <w:t>легалізація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виплати</w:t>
      </w:r>
      <w:proofErr w:type="spellEnd"/>
      <w:r w:rsidRPr="00390C7E">
        <w:rPr>
          <w:bCs/>
        </w:rPr>
        <w:t xml:space="preserve"> </w:t>
      </w:r>
      <w:proofErr w:type="spellStart"/>
      <w:r w:rsidRPr="00390C7E">
        <w:rPr>
          <w:bCs/>
        </w:rPr>
        <w:t>заробітної</w:t>
      </w:r>
      <w:proofErr w:type="spellEnd"/>
      <w:r w:rsidRPr="00390C7E">
        <w:rPr>
          <w:bCs/>
        </w:rPr>
        <w:t xml:space="preserve"> плати та </w:t>
      </w:r>
      <w:proofErr w:type="spellStart"/>
      <w:r w:rsidRPr="00390C7E">
        <w:rPr>
          <w:bCs/>
        </w:rPr>
        <w:t>інше</w:t>
      </w:r>
      <w:proofErr w:type="spellEnd"/>
      <w:r w:rsidRPr="00390C7E">
        <w:rPr>
          <w:bCs/>
        </w:rPr>
        <w:t>.</w:t>
      </w:r>
    </w:p>
    <w:p w:rsidR="007F494C" w:rsidRDefault="007F494C" w:rsidP="007F494C">
      <w:pPr>
        <w:tabs>
          <w:tab w:val="left" w:pos="1530"/>
        </w:tabs>
        <w:ind w:firstLine="720"/>
        <w:jc w:val="both"/>
        <w:rPr>
          <w:lang w:val="uk-UA"/>
        </w:rPr>
      </w:pPr>
    </w:p>
    <w:p w:rsidR="007F494C" w:rsidRPr="00390C7E" w:rsidRDefault="007F494C" w:rsidP="007F494C">
      <w:pPr>
        <w:tabs>
          <w:tab w:val="left" w:pos="1530"/>
        </w:tabs>
        <w:ind w:firstLine="720"/>
        <w:jc w:val="both"/>
        <w:rPr>
          <w:lang w:val="uk-UA"/>
        </w:rPr>
      </w:pPr>
      <w:r w:rsidRPr="00390C7E">
        <w:rPr>
          <w:lang w:val="uk-UA"/>
        </w:rPr>
        <w:t xml:space="preserve">Єдиного податку сплаченого юридичними та фізичними особами  у 1 півріччі 2016 року надійшло 8658,4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, що на 3977,4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 більше  ніж за відповідний період минулого року. Темп росту складає  185% за рахунок зміни ставки оподаткування  відповідно до вимог Податкового кодексу України.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</w:p>
    <w:p w:rsidR="007F494C" w:rsidRPr="00390C7E" w:rsidRDefault="007F494C" w:rsidP="007F494C">
      <w:pPr>
        <w:pStyle w:val="21"/>
        <w:spacing w:after="0" w:line="240" w:lineRule="auto"/>
        <w:ind w:left="0" w:firstLine="900"/>
        <w:jc w:val="center"/>
        <w:rPr>
          <w:rStyle w:val="rvts0"/>
          <w:b/>
          <w:u w:val="single"/>
          <w:lang w:val="uk-UA"/>
        </w:rPr>
      </w:pPr>
      <w:r w:rsidRPr="00390C7E">
        <w:rPr>
          <w:b/>
          <w:bCs/>
          <w:u w:val="single"/>
          <w:lang w:val="uk-UA"/>
        </w:rPr>
        <w:t xml:space="preserve">Акцизний податок </w:t>
      </w:r>
      <w:r w:rsidRPr="00390C7E">
        <w:rPr>
          <w:rStyle w:val="rvts0"/>
          <w:b/>
          <w:u w:val="single"/>
          <w:lang w:val="uk-UA"/>
        </w:rPr>
        <w:t>з реалізації</w:t>
      </w:r>
      <w:r w:rsidRPr="00390C7E">
        <w:rPr>
          <w:b/>
          <w:bCs/>
          <w:u w:val="single"/>
          <w:lang w:val="uk-UA"/>
        </w:rPr>
        <w:t xml:space="preserve"> через роздрібну торговельну мережу</w:t>
      </w:r>
      <w:r w:rsidRPr="00390C7E">
        <w:rPr>
          <w:rStyle w:val="rvts0"/>
          <w:b/>
          <w:u w:val="single"/>
          <w:lang w:val="uk-UA"/>
        </w:rPr>
        <w:t xml:space="preserve"> суб’єктами господарювання роздрібної торгівлі підакцизних товарів (140400)</w:t>
      </w:r>
    </w:p>
    <w:p w:rsidR="007F494C" w:rsidRPr="00390C7E" w:rsidRDefault="007F494C" w:rsidP="007F494C">
      <w:pPr>
        <w:pStyle w:val="21"/>
        <w:spacing w:after="0" w:line="240" w:lineRule="auto"/>
        <w:ind w:left="0" w:firstLine="720"/>
        <w:jc w:val="both"/>
        <w:rPr>
          <w:lang w:val="uk-UA"/>
        </w:rPr>
      </w:pPr>
      <w:r w:rsidRPr="00390C7E">
        <w:rPr>
          <w:lang w:val="uk-UA"/>
        </w:rPr>
        <w:t xml:space="preserve">Надходження даного акцизу до місцевого бюджету </w:t>
      </w:r>
      <w:proofErr w:type="spellStart"/>
      <w:r w:rsidRPr="00390C7E">
        <w:rPr>
          <w:lang w:val="uk-UA"/>
        </w:rPr>
        <w:t>м.Буча</w:t>
      </w:r>
      <w:proofErr w:type="spellEnd"/>
      <w:r w:rsidRPr="00390C7E">
        <w:rPr>
          <w:lang w:val="uk-UA"/>
        </w:rPr>
        <w:t xml:space="preserve"> за 6 місяців 2016 року склали  9843,3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, або 151% виконання плану на 1 півріччя 2016 року. Порівнюючи надходження даного податку за відповідний період минулого року, надходження збільшилися на  4395,9 тис. грн. або на 181% за рахунок  реєстрації юридичної особи, а саме, ПП </w:t>
      </w:r>
      <w:proofErr w:type="spellStart"/>
      <w:r w:rsidRPr="00390C7E">
        <w:rPr>
          <w:lang w:val="uk-UA"/>
        </w:rPr>
        <w:t>Укрпалетсистем</w:t>
      </w:r>
      <w:proofErr w:type="spellEnd"/>
      <w:r w:rsidRPr="00390C7E">
        <w:rPr>
          <w:lang w:val="uk-UA"/>
        </w:rPr>
        <w:t>, яка є платником даного податку.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  <w:r w:rsidRPr="00390C7E">
        <w:rPr>
          <w:lang w:val="uk-UA"/>
        </w:rPr>
        <w:t>Найбільші надходження даного податку надійшли від:</w:t>
      </w:r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ПП </w:t>
      </w:r>
      <w:proofErr w:type="spellStart"/>
      <w:r w:rsidRPr="00390C7E">
        <w:rPr>
          <w:lang w:val="uk-UA"/>
        </w:rPr>
        <w:t>Укрпалетсистем</w:t>
      </w:r>
      <w:proofErr w:type="spellEnd"/>
      <w:r w:rsidRPr="00390C7E">
        <w:rPr>
          <w:lang w:val="uk-UA"/>
        </w:rPr>
        <w:t xml:space="preserve"> – 3017,8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ТОВ </w:t>
      </w:r>
      <w:proofErr w:type="spellStart"/>
      <w:r w:rsidRPr="00390C7E">
        <w:rPr>
          <w:lang w:val="uk-UA"/>
        </w:rPr>
        <w:t>Восток</w:t>
      </w:r>
      <w:proofErr w:type="spellEnd"/>
      <w:r w:rsidRPr="00390C7E">
        <w:rPr>
          <w:lang w:val="uk-UA"/>
        </w:rPr>
        <w:t xml:space="preserve"> – 1477,3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ТОВ Альянс Холдинг – 1238,9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ТОВ </w:t>
      </w:r>
      <w:proofErr w:type="spellStart"/>
      <w:r w:rsidRPr="00390C7E">
        <w:rPr>
          <w:lang w:val="uk-UA"/>
        </w:rPr>
        <w:t>Новус</w:t>
      </w:r>
      <w:proofErr w:type="spellEnd"/>
      <w:r w:rsidRPr="00390C7E">
        <w:rPr>
          <w:lang w:val="uk-UA"/>
        </w:rPr>
        <w:t xml:space="preserve"> Україна – 1070,2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ТОВ </w:t>
      </w:r>
      <w:proofErr w:type="spellStart"/>
      <w:r w:rsidRPr="00390C7E">
        <w:rPr>
          <w:lang w:val="uk-UA"/>
        </w:rPr>
        <w:t>Сімпатик</w:t>
      </w:r>
      <w:proofErr w:type="spellEnd"/>
      <w:r w:rsidRPr="00390C7E">
        <w:rPr>
          <w:lang w:val="uk-UA"/>
        </w:rPr>
        <w:t xml:space="preserve"> – 676,2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ТОВ ТК Мегаполіс-Україна – 594,5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ТОВ ЕКО – 485,8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numPr>
          <w:ilvl w:val="0"/>
          <w:numId w:val="2"/>
        </w:numPr>
        <w:tabs>
          <w:tab w:val="left" w:pos="1530"/>
        </w:tabs>
        <w:ind w:left="0" w:firstLine="900"/>
        <w:jc w:val="both"/>
        <w:rPr>
          <w:lang w:val="uk-UA"/>
        </w:rPr>
      </w:pPr>
      <w:r w:rsidRPr="00390C7E">
        <w:rPr>
          <w:lang w:val="uk-UA"/>
        </w:rPr>
        <w:t xml:space="preserve">ТОВ АТБ </w:t>
      </w:r>
      <w:proofErr w:type="spellStart"/>
      <w:r w:rsidRPr="00390C7E">
        <w:rPr>
          <w:lang w:val="uk-UA"/>
        </w:rPr>
        <w:t>Маркет</w:t>
      </w:r>
      <w:proofErr w:type="spellEnd"/>
      <w:r w:rsidRPr="00390C7E">
        <w:rPr>
          <w:lang w:val="uk-UA"/>
        </w:rPr>
        <w:t xml:space="preserve"> – 265,5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>.</w:t>
      </w:r>
    </w:p>
    <w:p w:rsidR="007F494C" w:rsidRPr="00390C7E" w:rsidRDefault="007F494C" w:rsidP="007F494C">
      <w:pPr>
        <w:tabs>
          <w:tab w:val="left" w:pos="1530"/>
        </w:tabs>
        <w:jc w:val="both"/>
        <w:rPr>
          <w:lang w:val="uk-UA"/>
        </w:rPr>
      </w:pPr>
    </w:p>
    <w:p w:rsidR="007F494C" w:rsidRPr="00390C7E" w:rsidRDefault="007F494C" w:rsidP="007F494C">
      <w:pPr>
        <w:pStyle w:val="3"/>
        <w:ind w:left="0" w:firstLine="900"/>
        <w:rPr>
          <w:szCs w:val="24"/>
        </w:rPr>
      </w:pPr>
      <w:r w:rsidRPr="007F494C">
        <w:rPr>
          <w:szCs w:val="24"/>
          <w:lang w:val="uk-UA"/>
        </w:rPr>
        <w:t xml:space="preserve">Найпотужнішими підприємствами, установами та організаціями, які розташовані і здійснюють свою діяльність на території міста та сплачують податки до бюджету міста є: ПП </w:t>
      </w:r>
      <w:proofErr w:type="spellStart"/>
      <w:r w:rsidRPr="007F494C">
        <w:rPr>
          <w:szCs w:val="24"/>
          <w:lang w:val="uk-UA"/>
        </w:rPr>
        <w:t>Укрпалетсистем</w:t>
      </w:r>
      <w:proofErr w:type="spellEnd"/>
      <w:r w:rsidRPr="007F494C">
        <w:rPr>
          <w:szCs w:val="24"/>
          <w:lang w:val="uk-UA"/>
        </w:rPr>
        <w:t>, ТОВ «Незалежна Інвестиційна Агенція», ТОВ «</w:t>
      </w:r>
      <w:proofErr w:type="spellStart"/>
      <w:r w:rsidRPr="007F494C">
        <w:rPr>
          <w:szCs w:val="24"/>
          <w:lang w:val="uk-UA"/>
        </w:rPr>
        <w:t>Новус</w:t>
      </w:r>
      <w:proofErr w:type="spellEnd"/>
      <w:r w:rsidRPr="007F494C">
        <w:rPr>
          <w:szCs w:val="24"/>
          <w:lang w:val="uk-UA"/>
        </w:rPr>
        <w:t xml:space="preserve"> Україна», ТОВ «</w:t>
      </w:r>
      <w:proofErr w:type="spellStart"/>
      <w:r w:rsidRPr="007F494C">
        <w:rPr>
          <w:szCs w:val="24"/>
          <w:lang w:val="uk-UA"/>
        </w:rPr>
        <w:t>Бучанська</w:t>
      </w:r>
      <w:proofErr w:type="spellEnd"/>
      <w:r w:rsidRPr="007F494C">
        <w:rPr>
          <w:szCs w:val="24"/>
          <w:lang w:val="uk-UA"/>
        </w:rPr>
        <w:t xml:space="preserve"> будівельна  компанія»,  ТОВ «</w:t>
      </w:r>
      <w:proofErr w:type="spellStart"/>
      <w:r w:rsidRPr="007F494C">
        <w:rPr>
          <w:szCs w:val="24"/>
          <w:lang w:val="uk-UA"/>
        </w:rPr>
        <w:t>Восток</w:t>
      </w:r>
      <w:proofErr w:type="spellEnd"/>
      <w:r w:rsidRPr="007F494C">
        <w:rPr>
          <w:szCs w:val="24"/>
          <w:lang w:val="uk-UA"/>
        </w:rPr>
        <w:t>», АТ «Нова Лінія», ТОВ «Альянс холдинг», ТОВ «</w:t>
      </w:r>
      <w:proofErr w:type="spellStart"/>
      <w:r w:rsidRPr="007F494C">
        <w:rPr>
          <w:szCs w:val="24"/>
          <w:lang w:val="uk-UA"/>
        </w:rPr>
        <w:t>Бучанський</w:t>
      </w:r>
      <w:proofErr w:type="spellEnd"/>
      <w:r w:rsidRPr="007F494C">
        <w:rPr>
          <w:szCs w:val="24"/>
          <w:lang w:val="uk-UA"/>
        </w:rPr>
        <w:t xml:space="preserve"> завод склотари»,  ТОВ «</w:t>
      </w:r>
      <w:proofErr w:type="spellStart"/>
      <w:r w:rsidRPr="007F494C">
        <w:rPr>
          <w:szCs w:val="24"/>
          <w:lang w:val="uk-UA"/>
        </w:rPr>
        <w:t>Бучаміськбуд</w:t>
      </w:r>
      <w:proofErr w:type="spellEnd"/>
      <w:r w:rsidRPr="007F494C">
        <w:rPr>
          <w:szCs w:val="24"/>
          <w:lang w:val="uk-UA"/>
        </w:rPr>
        <w:t xml:space="preserve">», ТОВ РТЦ «Ірпінь», </w:t>
      </w:r>
      <w:proofErr w:type="spellStart"/>
      <w:r w:rsidRPr="007F494C">
        <w:rPr>
          <w:szCs w:val="24"/>
          <w:lang w:val="uk-UA"/>
        </w:rPr>
        <w:t>ПрАТ</w:t>
      </w:r>
      <w:proofErr w:type="spellEnd"/>
      <w:r w:rsidRPr="007F494C">
        <w:rPr>
          <w:szCs w:val="24"/>
          <w:lang w:val="uk-UA"/>
        </w:rPr>
        <w:t xml:space="preserve"> Меліоратор, </w:t>
      </w:r>
      <w:proofErr w:type="spellStart"/>
      <w:r w:rsidRPr="007F494C">
        <w:rPr>
          <w:szCs w:val="24"/>
          <w:lang w:val="uk-UA"/>
        </w:rPr>
        <w:t>ДП</w:t>
      </w:r>
      <w:proofErr w:type="spellEnd"/>
      <w:r w:rsidRPr="007F494C">
        <w:rPr>
          <w:szCs w:val="24"/>
          <w:lang w:val="uk-UA"/>
        </w:rPr>
        <w:t xml:space="preserve"> «</w:t>
      </w:r>
      <w:proofErr w:type="spellStart"/>
      <w:r w:rsidRPr="007F494C">
        <w:rPr>
          <w:szCs w:val="24"/>
          <w:lang w:val="uk-UA"/>
        </w:rPr>
        <w:t>ЮТЕМ-інжинірінг</w:t>
      </w:r>
      <w:proofErr w:type="spellEnd"/>
      <w:r w:rsidRPr="007F494C">
        <w:rPr>
          <w:szCs w:val="24"/>
          <w:lang w:val="uk-UA"/>
        </w:rPr>
        <w:t xml:space="preserve">», ТОВ </w:t>
      </w:r>
      <w:proofErr w:type="spellStart"/>
      <w:r w:rsidRPr="007F494C">
        <w:rPr>
          <w:szCs w:val="24"/>
          <w:lang w:val="uk-UA"/>
        </w:rPr>
        <w:t>Сімпатик</w:t>
      </w:r>
      <w:proofErr w:type="spellEnd"/>
      <w:r w:rsidRPr="007F494C">
        <w:rPr>
          <w:szCs w:val="24"/>
          <w:lang w:val="uk-UA"/>
        </w:rPr>
        <w:t xml:space="preserve">, ТОВ «Ман Трак </w:t>
      </w:r>
      <w:proofErr w:type="spellStart"/>
      <w:r w:rsidRPr="007F494C">
        <w:rPr>
          <w:szCs w:val="24"/>
          <w:lang w:val="uk-UA"/>
        </w:rPr>
        <w:t>енд</w:t>
      </w:r>
      <w:proofErr w:type="spellEnd"/>
      <w:r w:rsidRPr="007F494C">
        <w:rPr>
          <w:szCs w:val="24"/>
          <w:lang w:val="uk-UA"/>
        </w:rPr>
        <w:t xml:space="preserve"> Бас </w:t>
      </w:r>
      <w:proofErr w:type="spellStart"/>
      <w:r w:rsidRPr="007F494C">
        <w:rPr>
          <w:szCs w:val="24"/>
          <w:lang w:val="uk-UA"/>
        </w:rPr>
        <w:t>Юкрейн</w:t>
      </w:r>
      <w:proofErr w:type="spellEnd"/>
      <w:r w:rsidRPr="007F494C">
        <w:rPr>
          <w:szCs w:val="24"/>
          <w:lang w:val="uk-UA"/>
        </w:rPr>
        <w:t>»,      ПП «</w:t>
      </w:r>
      <w:proofErr w:type="spellStart"/>
      <w:r w:rsidRPr="007F494C">
        <w:rPr>
          <w:szCs w:val="24"/>
          <w:lang w:val="uk-UA"/>
        </w:rPr>
        <w:t>Деліція</w:t>
      </w:r>
      <w:proofErr w:type="spellEnd"/>
      <w:r w:rsidRPr="007F494C">
        <w:rPr>
          <w:szCs w:val="24"/>
          <w:lang w:val="uk-UA"/>
        </w:rPr>
        <w:t xml:space="preserve">», </w:t>
      </w:r>
      <w:proofErr w:type="spellStart"/>
      <w:r w:rsidRPr="007F494C">
        <w:rPr>
          <w:szCs w:val="24"/>
          <w:lang w:val="uk-UA"/>
        </w:rPr>
        <w:t>ПрОТ</w:t>
      </w:r>
      <w:proofErr w:type="spellEnd"/>
      <w:r w:rsidRPr="007F494C">
        <w:rPr>
          <w:szCs w:val="24"/>
          <w:lang w:val="uk-UA"/>
        </w:rPr>
        <w:t xml:space="preserve"> «Край </w:t>
      </w:r>
      <w:proofErr w:type="spellStart"/>
      <w:r w:rsidRPr="007F494C">
        <w:rPr>
          <w:szCs w:val="24"/>
          <w:lang w:val="uk-UA"/>
        </w:rPr>
        <w:t>Керама</w:t>
      </w:r>
      <w:proofErr w:type="spellEnd"/>
      <w:r w:rsidRPr="007F494C">
        <w:rPr>
          <w:szCs w:val="24"/>
          <w:lang w:val="uk-UA"/>
        </w:rPr>
        <w:t xml:space="preserve">» та ін., а також суб’єкти  підприємницької діяльності: Скуратівський Г.Б., </w:t>
      </w:r>
      <w:proofErr w:type="spellStart"/>
      <w:r w:rsidRPr="007F494C">
        <w:rPr>
          <w:szCs w:val="24"/>
          <w:lang w:val="uk-UA"/>
        </w:rPr>
        <w:t>Кулагін</w:t>
      </w:r>
      <w:proofErr w:type="spellEnd"/>
      <w:r w:rsidRPr="007F494C">
        <w:rPr>
          <w:szCs w:val="24"/>
          <w:lang w:val="uk-UA"/>
        </w:rPr>
        <w:t xml:space="preserve"> Д.Ю., </w:t>
      </w:r>
      <w:proofErr w:type="spellStart"/>
      <w:r w:rsidRPr="007F494C">
        <w:rPr>
          <w:szCs w:val="24"/>
          <w:lang w:val="uk-UA"/>
        </w:rPr>
        <w:t>Квачук</w:t>
      </w:r>
      <w:proofErr w:type="spellEnd"/>
      <w:r w:rsidRPr="007F494C">
        <w:rPr>
          <w:szCs w:val="24"/>
          <w:lang w:val="uk-UA"/>
        </w:rPr>
        <w:t xml:space="preserve"> Л.М., Наконечний С.Б., </w:t>
      </w:r>
      <w:proofErr w:type="spellStart"/>
      <w:r w:rsidRPr="007F494C">
        <w:rPr>
          <w:szCs w:val="24"/>
          <w:lang w:val="uk-UA"/>
        </w:rPr>
        <w:t>Калітинський</w:t>
      </w:r>
      <w:proofErr w:type="spellEnd"/>
      <w:r w:rsidRPr="007F494C">
        <w:rPr>
          <w:szCs w:val="24"/>
          <w:lang w:val="uk-UA"/>
        </w:rPr>
        <w:t xml:space="preserve"> І.А.,  та ін. </w:t>
      </w:r>
      <w:proofErr w:type="spellStart"/>
      <w:r w:rsidRPr="00390C7E">
        <w:rPr>
          <w:szCs w:val="24"/>
        </w:rPr>
        <w:t>Додаток</w:t>
      </w:r>
      <w:proofErr w:type="spellEnd"/>
      <w:r w:rsidRPr="00390C7E">
        <w:rPr>
          <w:szCs w:val="24"/>
        </w:rPr>
        <w:t xml:space="preserve"> № 3</w:t>
      </w:r>
      <w:proofErr w:type="gramStart"/>
      <w:r w:rsidRPr="00390C7E">
        <w:rPr>
          <w:szCs w:val="24"/>
        </w:rPr>
        <w:t xml:space="preserve"> )</w:t>
      </w:r>
      <w:proofErr w:type="gramEnd"/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  <w:r w:rsidRPr="00390C7E">
        <w:rPr>
          <w:lang w:val="uk-UA"/>
        </w:rPr>
        <w:t xml:space="preserve">Інших надходжень (код 240603) за 6 місяців 2016 року надійшло 111,3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 За відповідний період минулого року кошти не надходили. У 2016 році кошти надійшли як покриття матеріальної шкоди по акту ревізії від </w:t>
      </w:r>
      <w:proofErr w:type="spellStart"/>
      <w:r w:rsidRPr="00390C7E">
        <w:rPr>
          <w:lang w:val="uk-UA"/>
        </w:rPr>
        <w:t>Бучанської</w:t>
      </w:r>
      <w:proofErr w:type="spellEnd"/>
      <w:r w:rsidRPr="00390C7E">
        <w:rPr>
          <w:lang w:val="uk-UA"/>
        </w:rPr>
        <w:t xml:space="preserve"> міської ради (3,3 тис. </w:t>
      </w:r>
      <w:proofErr w:type="spellStart"/>
      <w:r w:rsidRPr="00390C7E">
        <w:rPr>
          <w:lang w:val="uk-UA"/>
        </w:rPr>
        <w:t>грн</w:t>
      </w:r>
      <w:proofErr w:type="spellEnd"/>
      <w:r w:rsidRPr="00390C7E">
        <w:rPr>
          <w:lang w:val="uk-UA"/>
        </w:rPr>
        <w:t xml:space="preserve">) та </w:t>
      </w:r>
      <w:proofErr w:type="spellStart"/>
      <w:r w:rsidRPr="00390C7E">
        <w:rPr>
          <w:lang w:val="uk-UA"/>
        </w:rPr>
        <w:t>Бучанської</w:t>
      </w:r>
      <w:proofErr w:type="spellEnd"/>
      <w:r w:rsidRPr="00390C7E">
        <w:rPr>
          <w:lang w:val="uk-UA"/>
        </w:rPr>
        <w:t xml:space="preserve"> міської поліклініки (13,1 тис. </w:t>
      </w:r>
      <w:proofErr w:type="spellStart"/>
      <w:r w:rsidRPr="00390C7E">
        <w:rPr>
          <w:lang w:val="uk-UA"/>
        </w:rPr>
        <w:t>грн</w:t>
      </w:r>
      <w:proofErr w:type="spellEnd"/>
      <w:r w:rsidRPr="00390C7E">
        <w:rPr>
          <w:lang w:val="uk-UA"/>
        </w:rPr>
        <w:t xml:space="preserve">), повернення коштів минулих періодів  відділом освіти в сумі 95,0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 та боргові стягнення в сумі 0,5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 від </w:t>
      </w:r>
      <w:proofErr w:type="spellStart"/>
      <w:r w:rsidRPr="00390C7E">
        <w:rPr>
          <w:lang w:val="uk-UA"/>
        </w:rPr>
        <w:t>Бучанського</w:t>
      </w:r>
      <w:proofErr w:type="spellEnd"/>
      <w:r w:rsidRPr="00390C7E">
        <w:rPr>
          <w:lang w:val="uk-UA"/>
        </w:rPr>
        <w:t xml:space="preserve"> міського відділу ДВС ГТУЮ.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</w:p>
    <w:p w:rsidR="007F494C" w:rsidRPr="00390C7E" w:rsidRDefault="007F494C" w:rsidP="007F494C">
      <w:pPr>
        <w:tabs>
          <w:tab w:val="left" w:pos="1530"/>
        </w:tabs>
        <w:ind w:firstLine="900"/>
        <w:jc w:val="center"/>
        <w:rPr>
          <w:b/>
          <w:sz w:val="26"/>
          <w:szCs w:val="26"/>
          <w:lang w:val="uk-UA"/>
        </w:rPr>
      </w:pPr>
      <w:r w:rsidRPr="00390C7E">
        <w:rPr>
          <w:b/>
          <w:sz w:val="26"/>
          <w:szCs w:val="26"/>
          <w:lang w:val="uk-UA"/>
        </w:rPr>
        <w:t>Спеціальний фонд</w:t>
      </w:r>
    </w:p>
    <w:p w:rsidR="007F494C" w:rsidRPr="00390C7E" w:rsidRDefault="007F494C" w:rsidP="007F494C">
      <w:pPr>
        <w:tabs>
          <w:tab w:val="left" w:pos="1530"/>
        </w:tabs>
        <w:ind w:firstLine="900"/>
        <w:jc w:val="center"/>
        <w:rPr>
          <w:b/>
          <w:sz w:val="26"/>
          <w:szCs w:val="26"/>
          <w:lang w:val="uk-UA"/>
        </w:rPr>
      </w:pPr>
    </w:p>
    <w:p w:rsidR="007F494C" w:rsidRPr="00390C7E" w:rsidRDefault="007F494C" w:rsidP="007F494C">
      <w:pPr>
        <w:tabs>
          <w:tab w:val="left" w:pos="0"/>
        </w:tabs>
        <w:ind w:firstLine="900"/>
        <w:jc w:val="both"/>
        <w:rPr>
          <w:lang w:val="uk-UA"/>
        </w:rPr>
      </w:pPr>
      <w:r w:rsidRPr="00390C7E">
        <w:rPr>
          <w:lang w:val="uk-UA"/>
        </w:rPr>
        <w:t xml:space="preserve">План по доходах спеціального фонду виконано на 29,34 % при уточненому плані по доходах на 2016 рік  39288,4 тис. грн. надійшло – 11528,5 тис. грн., в тому числі: надходження екологічного податку  -  12,9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, надходження від продажу землі – 3017,6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.; надходження коштів від відчуження майна – 129,0 тис. грн. надходження коштів пайової участі у розвитку інфраструктури населеного пункту – 3901,5 тис. грн.; </w:t>
      </w:r>
      <w:proofErr w:type="spellStart"/>
      <w:r w:rsidRPr="00390C7E">
        <w:rPr>
          <w:lang w:val="uk-UA"/>
        </w:rPr>
        <w:t>цiльовi</w:t>
      </w:r>
      <w:proofErr w:type="spellEnd"/>
      <w:r w:rsidRPr="00390C7E">
        <w:rPr>
          <w:lang w:val="uk-UA"/>
        </w:rPr>
        <w:t xml:space="preserve"> фонди, утворені Верховною Радою АРК, органами місцевого самоврядування і місцевими органами виконавчої влади – 773,2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., власні надходження бюджетних установ – 3693,8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, інші надходження  - 0,4 </w:t>
      </w:r>
      <w:proofErr w:type="spellStart"/>
      <w:r w:rsidRPr="00390C7E">
        <w:rPr>
          <w:lang w:val="uk-UA"/>
        </w:rPr>
        <w:t>тис.грн</w:t>
      </w:r>
      <w:proofErr w:type="spellEnd"/>
    </w:p>
    <w:p w:rsidR="007F494C" w:rsidRPr="00390C7E" w:rsidRDefault="007F494C" w:rsidP="007F494C">
      <w:pPr>
        <w:tabs>
          <w:tab w:val="left" w:pos="0"/>
        </w:tabs>
        <w:ind w:firstLine="900"/>
        <w:jc w:val="both"/>
        <w:rPr>
          <w:lang w:val="uk-UA"/>
        </w:rPr>
      </w:pPr>
    </w:p>
    <w:p w:rsidR="007F494C" w:rsidRPr="00390C7E" w:rsidRDefault="007F494C" w:rsidP="007F494C">
      <w:pPr>
        <w:spacing w:line="288" w:lineRule="auto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105525" cy="432435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494C" w:rsidRPr="00390C7E" w:rsidRDefault="007F494C" w:rsidP="007F494C">
      <w:pPr>
        <w:spacing w:line="288" w:lineRule="auto"/>
        <w:jc w:val="center"/>
        <w:rPr>
          <w:lang w:val="uk-UA"/>
        </w:rPr>
      </w:pPr>
    </w:p>
    <w:p w:rsidR="007F494C" w:rsidRPr="00390C7E" w:rsidRDefault="007F494C" w:rsidP="007F494C">
      <w:pPr>
        <w:pStyle w:val="3"/>
        <w:ind w:left="0" w:firstLine="900"/>
        <w:rPr>
          <w:bCs/>
          <w:szCs w:val="24"/>
        </w:rPr>
      </w:pPr>
      <w:proofErr w:type="spellStart"/>
      <w:r w:rsidRPr="00390C7E">
        <w:rPr>
          <w:bCs/>
          <w:szCs w:val="24"/>
        </w:rPr>
        <w:t>Відповідно</w:t>
      </w:r>
      <w:proofErr w:type="spellEnd"/>
      <w:r w:rsidRPr="00390C7E">
        <w:rPr>
          <w:bCs/>
          <w:szCs w:val="24"/>
        </w:rPr>
        <w:t xml:space="preserve"> до </w:t>
      </w:r>
      <w:proofErr w:type="spellStart"/>
      <w:r w:rsidRPr="00390C7E">
        <w:rPr>
          <w:bCs/>
          <w:szCs w:val="24"/>
        </w:rPr>
        <w:t>статті</w:t>
      </w:r>
      <w:proofErr w:type="spellEnd"/>
      <w:r w:rsidRPr="00390C7E">
        <w:rPr>
          <w:bCs/>
          <w:szCs w:val="24"/>
        </w:rPr>
        <w:t xml:space="preserve"> 69-1 Бюджетного кодексу </w:t>
      </w:r>
      <w:proofErr w:type="spellStart"/>
      <w:r w:rsidRPr="00390C7E">
        <w:rPr>
          <w:bCs/>
          <w:szCs w:val="24"/>
        </w:rPr>
        <w:t>України</w:t>
      </w:r>
      <w:proofErr w:type="spellEnd"/>
      <w:r w:rsidRPr="00390C7E">
        <w:rPr>
          <w:bCs/>
          <w:szCs w:val="24"/>
        </w:rPr>
        <w:t xml:space="preserve">, </w:t>
      </w:r>
      <w:proofErr w:type="spellStart"/>
      <w:r w:rsidRPr="00390C7E">
        <w:rPr>
          <w:bCs/>
          <w:szCs w:val="24"/>
        </w:rPr>
        <w:t>надходження</w:t>
      </w:r>
      <w:proofErr w:type="spellEnd"/>
      <w:r w:rsidRPr="00390C7E">
        <w:rPr>
          <w:bCs/>
          <w:szCs w:val="24"/>
        </w:rPr>
        <w:t xml:space="preserve"> до </w:t>
      </w:r>
      <w:proofErr w:type="spellStart"/>
      <w:r w:rsidRPr="00390C7E">
        <w:rPr>
          <w:bCs/>
          <w:szCs w:val="24"/>
        </w:rPr>
        <w:t>спеціального</w:t>
      </w:r>
      <w:proofErr w:type="spellEnd"/>
      <w:r w:rsidRPr="00390C7E">
        <w:rPr>
          <w:bCs/>
          <w:szCs w:val="24"/>
        </w:rPr>
        <w:t xml:space="preserve"> фонду бюджету м. Буча на 2015 </w:t>
      </w:r>
      <w:proofErr w:type="spellStart"/>
      <w:proofErr w:type="gramStart"/>
      <w:r w:rsidRPr="00390C7E">
        <w:rPr>
          <w:bCs/>
          <w:szCs w:val="24"/>
        </w:rPr>
        <w:t>р</w:t>
      </w:r>
      <w:proofErr w:type="gramEnd"/>
      <w:r w:rsidRPr="00390C7E">
        <w:rPr>
          <w:bCs/>
          <w:szCs w:val="24"/>
        </w:rPr>
        <w:t>ік</w:t>
      </w:r>
      <w:proofErr w:type="spellEnd"/>
      <w:r w:rsidRPr="00390C7E">
        <w:rPr>
          <w:bCs/>
          <w:szCs w:val="24"/>
        </w:rPr>
        <w:t xml:space="preserve"> </w:t>
      </w:r>
      <w:proofErr w:type="spellStart"/>
      <w:r w:rsidRPr="00390C7E">
        <w:rPr>
          <w:bCs/>
          <w:szCs w:val="24"/>
        </w:rPr>
        <w:t>складаються</w:t>
      </w:r>
      <w:proofErr w:type="spellEnd"/>
      <w:r w:rsidRPr="00390C7E">
        <w:rPr>
          <w:bCs/>
          <w:szCs w:val="24"/>
        </w:rPr>
        <w:t>:</w:t>
      </w:r>
    </w:p>
    <w:p w:rsidR="007F494C" w:rsidRPr="00390C7E" w:rsidRDefault="007F494C" w:rsidP="007F494C">
      <w:pPr>
        <w:pStyle w:val="3"/>
        <w:numPr>
          <w:ilvl w:val="0"/>
          <w:numId w:val="1"/>
        </w:numPr>
        <w:tabs>
          <w:tab w:val="clear" w:pos="1620"/>
          <w:tab w:val="num" w:pos="0"/>
        </w:tabs>
        <w:spacing w:after="0"/>
        <w:ind w:left="0" w:firstLine="900"/>
        <w:jc w:val="both"/>
        <w:rPr>
          <w:szCs w:val="24"/>
        </w:rPr>
      </w:pPr>
      <w:proofErr w:type="spellStart"/>
      <w:r w:rsidRPr="00390C7E">
        <w:rPr>
          <w:szCs w:val="24"/>
        </w:rPr>
        <w:t>надходження</w:t>
      </w:r>
      <w:proofErr w:type="spellEnd"/>
      <w:r w:rsidRPr="00390C7E">
        <w:rPr>
          <w:szCs w:val="24"/>
        </w:rPr>
        <w:t xml:space="preserve"> бюджету </w:t>
      </w:r>
      <w:proofErr w:type="spellStart"/>
      <w:r w:rsidRPr="00390C7E">
        <w:rPr>
          <w:szCs w:val="24"/>
        </w:rPr>
        <w:t>розвитку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місцевих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бюджеті</w:t>
      </w:r>
      <w:proofErr w:type="gramStart"/>
      <w:r w:rsidRPr="00390C7E">
        <w:rPr>
          <w:szCs w:val="24"/>
        </w:rPr>
        <w:t>в</w:t>
      </w:r>
      <w:proofErr w:type="spellEnd"/>
      <w:proofErr w:type="gramEnd"/>
      <w:r w:rsidRPr="00390C7E">
        <w:rPr>
          <w:szCs w:val="24"/>
        </w:rPr>
        <w:t>;</w:t>
      </w:r>
    </w:p>
    <w:p w:rsidR="007F494C" w:rsidRPr="00390C7E" w:rsidRDefault="007F494C" w:rsidP="007F494C">
      <w:pPr>
        <w:pStyle w:val="3"/>
        <w:numPr>
          <w:ilvl w:val="0"/>
          <w:numId w:val="1"/>
        </w:numPr>
        <w:tabs>
          <w:tab w:val="clear" w:pos="1620"/>
          <w:tab w:val="num" w:pos="0"/>
        </w:tabs>
        <w:spacing w:after="0"/>
        <w:ind w:left="0" w:firstLine="900"/>
        <w:jc w:val="both"/>
        <w:rPr>
          <w:szCs w:val="24"/>
        </w:rPr>
      </w:pPr>
      <w:proofErr w:type="spellStart"/>
      <w:r w:rsidRPr="00390C7E">
        <w:rPr>
          <w:szCs w:val="24"/>
        </w:rPr>
        <w:t>екологічного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податку</w:t>
      </w:r>
      <w:proofErr w:type="spellEnd"/>
      <w:r w:rsidRPr="00390C7E">
        <w:rPr>
          <w:szCs w:val="24"/>
        </w:rPr>
        <w:t xml:space="preserve"> (</w:t>
      </w:r>
      <w:proofErr w:type="spellStart"/>
      <w:r w:rsidRPr="00390C7E">
        <w:rPr>
          <w:szCs w:val="24"/>
        </w:rPr>
        <w:t>з</w:t>
      </w:r>
      <w:proofErr w:type="spellEnd"/>
      <w:r w:rsidRPr="00390C7E">
        <w:rPr>
          <w:szCs w:val="24"/>
        </w:rPr>
        <w:t xml:space="preserve"> 01 </w:t>
      </w:r>
      <w:proofErr w:type="spellStart"/>
      <w:r w:rsidRPr="00390C7E">
        <w:rPr>
          <w:szCs w:val="24"/>
        </w:rPr>
        <w:t>січня</w:t>
      </w:r>
      <w:proofErr w:type="spellEnd"/>
      <w:r w:rsidRPr="00390C7E">
        <w:rPr>
          <w:szCs w:val="24"/>
        </w:rPr>
        <w:t xml:space="preserve"> 2016 року)</w:t>
      </w:r>
    </w:p>
    <w:p w:rsidR="007F494C" w:rsidRPr="00390C7E" w:rsidRDefault="007F494C" w:rsidP="007F494C">
      <w:pPr>
        <w:pStyle w:val="3"/>
        <w:numPr>
          <w:ilvl w:val="0"/>
          <w:numId w:val="1"/>
        </w:numPr>
        <w:tabs>
          <w:tab w:val="clear" w:pos="1620"/>
          <w:tab w:val="num" w:pos="0"/>
        </w:tabs>
        <w:spacing w:after="0"/>
        <w:ind w:left="0" w:firstLine="900"/>
        <w:jc w:val="both"/>
        <w:rPr>
          <w:szCs w:val="24"/>
        </w:rPr>
      </w:pPr>
      <w:proofErr w:type="spellStart"/>
      <w:r w:rsidRPr="00390C7E">
        <w:rPr>
          <w:szCs w:val="24"/>
        </w:rPr>
        <w:t>надходження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коштів</w:t>
      </w:r>
      <w:proofErr w:type="spellEnd"/>
      <w:r w:rsidRPr="00390C7E">
        <w:rPr>
          <w:szCs w:val="24"/>
        </w:rPr>
        <w:t xml:space="preserve"> </w:t>
      </w:r>
      <w:proofErr w:type="spellStart"/>
      <w:proofErr w:type="gramStart"/>
      <w:r w:rsidRPr="00390C7E">
        <w:rPr>
          <w:szCs w:val="24"/>
        </w:rPr>
        <w:t>в</w:t>
      </w:r>
      <w:proofErr w:type="gramEnd"/>
      <w:r w:rsidRPr="00390C7E">
        <w:rPr>
          <w:szCs w:val="24"/>
        </w:rPr>
        <w:t>ід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відшкодування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втрат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сільськогосподарського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і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лісогосподарського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виробництва</w:t>
      </w:r>
      <w:proofErr w:type="spellEnd"/>
      <w:r w:rsidRPr="00390C7E">
        <w:rPr>
          <w:szCs w:val="24"/>
        </w:rPr>
        <w:t xml:space="preserve">; </w:t>
      </w:r>
    </w:p>
    <w:p w:rsidR="007F494C" w:rsidRPr="00390C7E" w:rsidRDefault="007F494C" w:rsidP="007F494C">
      <w:pPr>
        <w:pStyle w:val="3"/>
        <w:numPr>
          <w:ilvl w:val="0"/>
          <w:numId w:val="1"/>
        </w:numPr>
        <w:tabs>
          <w:tab w:val="clear" w:pos="1620"/>
          <w:tab w:val="num" w:pos="0"/>
        </w:tabs>
        <w:spacing w:after="0"/>
        <w:ind w:left="0" w:firstLine="900"/>
        <w:jc w:val="both"/>
        <w:rPr>
          <w:szCs w:val="24"/>
        </w:rPr>
      </w:pPr>
      <w:proofErr w:type="spellStart"/>
      <w:r w:rsidRPr="00390C7E">
        <w:rPr>
          <w:szCs w:val="24"/>
        </w:rPr>
        <w:t>надходження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грошових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стягнень</w:t>
      </w:r>
      <w:proofErr w:type="spellEnd"/>
      <w:r w:rsidRPr="00390C7E">
        <w:rPr>
          <w:szCs w:val="24"/>
        </w:rPr>
        <w:t xml:space="preserve"> за шкоду, </w:t>
      </w:r>
      <w:proofErr w:type="spellStart"/>
      <w:r w:rsidRPr="00390C7E">
        <w:rPr>
          <w:szCs w:val="24"/>
        </w:rPr>
        <w:t>заподіяну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порушенням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законодавства</w:t>
      </w:r>
      <w:proofErr w:type="spellEnd"/>
      <w:r w:rsidRPr="00390C7E">
        <w:rPr>
          <w:szCs w:val="24"/>
        </w:rPr>
        <w:t xml:space="preserve"> про </w:t>
      </w:r>
      <w:proofErr w:type="spellStart"/>
      <w:r w:rsidRPr="00390C7E">
        <w:rPr>
          <w:szCs w:val="24"/>
        </w:rPr>
        <w:t>охорону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навколишнього</w:t>
      </w:r>
      <w:proofErr w:type="spellEnd"/>
      <w:r w:rsidRPr="00390C7E">
        <w:rPr>
          <w:szCs w:val="24"/>
        </w:rPr>
        <w:t xml:space="preserve"> </w:t>
      </w:r>
      <w:proofErr w:type="gramStart"/>
      <w:r w:rsidRPr="00390C7E">
        <w:rPr>
          <w:szCs w:val="24"/>
        </w:rPr>
        <w:t>природного</w:t>
      </w:r>
      <w:proofErr w:type="gram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середовища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внаслідок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господарської</w:t>
      </w:r>
      <w:proofErr w:type="spellEnd"/>
      <w:r w:rsidRPr="00390C7E">
        <w:rPr>
          <w:szCs w:val="24"/>
        </w:rPr>
        <w:t xml:space="preserve"> та </w:t>
      </w:r>
      <w:proofErr w:type="spellStart"/>
      <w:r w:rsidRPr="00390C7E">
        <w:rPr>
          <w:szCs w:val="24"/>
        </w:rPr>
        <w:t>іншої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діяльності</w:t>
      </w:r>
      <w:proofErr w:type="spellEnd"/>
      <w:r w:rsidRPr="00390C7E">
        <w:rPr>
          <w:szCs w:val="24"/>
        </w:rPr>
        <w:t>;</w:t>
      </w:r>
    </w:p>
    <w:p w:rsidR="007F494C" w:rsidRPr="00390C7E" w:rsidRDefault="007F494C" w:rsidP="007F494C">
      <w:pPr>
        <w:pStyle w:val="3"/>
        <w:numPr>
          <w:ilvl w:val="0"/>
          <w:numId w:val="1"/>
        </w:numPr>
        <w:tabs>
          <w:tab w:val="clear" w:pos="1620"/>
          <w:tab w:val="num" w:pos="0"/>
        </w:tabs>
        <w:spacing w:after="0"/>
        <w:ind w:left="0" w:firstLine="900"/>
        <w:jc w:val="both"/>
        <w:rPr>
          <w:szCs w:val="24"/>
        </w:rPr>
      </w:pPr>
      <w:proofErr w:type="spellStart"/>
      <w:r w:rsidRPr="00390C7E">
        <w:rPr>
          <w:szCs w:val="24"/>
        </w:rPr>
        <w:t>власні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надходження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бюджетних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установ</w:t>
      </w:r>
      <w:proofErr w:type="spellEnd"/>
      <w:r w:rsidRPr="00390C7E">
        <w:rPr>
          <w:szCs w:val="24"/>
        </w:rPr>
        <w:t xml:space="preserve">; </w:t>
      </w:r>
    </w:p>
    <w:p w:rsidR="007F494C" w:rsidRPr="00390C7E" w:rsidRDefault="007F494C" w:rsidP="007F494C">
      <w:pPr>
        <w:pStyle w:val="3"/>
        <w:numPr>
          <w:ilvl w:val="0"/>
          <w:numId w:val="1"/>
        </w:numPr>
        <w:tabs>
          <w:tab w:val="clear" w:pos="1620"/>
          <w:tab w:val="num" w:pos="0"/>
        </w:tabs>
        <w:spacing w:after="0"/>
        <w:ind w:left="0" w:firstLine="900"/>
        <w:jc w:val="both"/>
        <w:rPr>
          <w:szCs w:val="24"/>
        </w:rPr>
      </w:pPr>
      <w:proofErr w:type="spellStart"/>
      <w:r w:rsidRPr="00390C7E">
        <w:rPr>
          <w:szCs w:val="24"/>
        </w:rPr>
        <w:t>цільові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фонди</w:t>
      </w:r>
      <w:proofErr w:type="spellEnd"/>
      <w:r w:rsidRPr="00390C7E">
        <w:rPr>
          <w:szCs w:val="24"/>
        </w:rPr>
        <w:t xml:space="preserve">, </w:t>
      </w:r>
      <w:proofErr w:type="spellStart"/>
      <w:r w:rsidRPr="00390C7E">
        <w:rPr>
          <w:szCs w:val="24"/>
        </w:rPr>
        <w:t>утворені</w:t>
      </w:r>
      <w:proofErr w:type="spellEnd"/>
      <w:r w:rsidRPr="00390C7E">
        <w:rPr>
          <w:szCs w:val="24"/>
        </w:rPr>
        <w:t xml:space="preserve"> ВР АРК, органами </w:t>
      </w:r>
      <w:proofErr w:type="spellStart"/>
      <w:proofErr w:type="gramStart"/>
      <w:r w:rsidRPr="00390C7E">
        <w:rPr>
          <w:szCs w:val="24"/>
        </w:rPr>
        <w:t>м</w:t>
      </w:r>
      <w:proofErr w:type="gramEnd"/>
      <w:r w:rsidRPr="00390C7E">
        <w:rPr>
          <w:szCs w:val="24"/>
        </w:rPr>
        <w:t>ісцевого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самоврядування</w:t>
      </w:r>
      <w:proofErr w:type="spellEnd"/>
      <w:r w:rsidRPr="00390C7E">
        <w:rPr>
          <w:szCs w:val="24"/>
        </w:rPr>
        <w:t xml:space="preserve"> та </w:t>
      </w:r>
      <w:proofErr w:type="spellStart"/>
      <w:r w:rsidRPr="00390C7E">
        <w:rPr>
          <w:szCs w:val="24"/>
        </w:rPr>
        <w:t>місцевими</w:t>
      </w:r>
      <w:proofErr w:type="spellEnd"/>
      <w:r w:rsidRPr="00390C7E">
        <w:rPr>
          <w:szCs w:val="24"/>
        </w:rPr>
        <w:t xml:space="preserve"> органами </w:t>
      </w:r>
      <w:proofErr w:type="spellStart"/>
      <w:r w:rsidRPr="00390C7E">
        <w:rPr>
          <w:szCs w:val="24"/>
        </w:rPr>
        <w:t>виконавчої</w:t>
      </w:r>
      <w:proofErr w:type="spellEnd"/>
      <w:r w:rsidRPr="00390C7E">
        <w:rPr>
          <w:szCs w:val="24"/>
        </w:rPr>
        <w:t xml:space="preserve"> </w:t>
      </w:r>
      <w:proofErr w:type="spellStart"/>
      <w:r w:rsidRPr="00390C7E">
        <w:rPr>
          <w:szCs w:val="24"/>
        </w:rPr>
        <w:t>влади</w:t>
      </w:r>
      <w:proofErr w:type="spellEnd"/>
      <w:r w:rsidRPr="00390C7E">
        <w:rPr>
          <w:szCs w:val="24"/>
        </w:rPr>
        <w:t xml:space="preserve">. 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  <w:r w:rsidRPr="00390C7E">
        <w:rPr>
          <w:lang w:val="uk-UA"/>
        </w:rPr>
        <w:t>По спеціальному фонду за 1 півріччя 2016 року надходження становлять 11528,5 тис. грн. (офіційні трансферти у 2016 році до спеціального фонду бюджету не передбачені), що складає 29,3 % виконання від уточненого плану на 2016 рік.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  <w:r w:rsidRPr="00390C7E">
        <w:rPr>
          <w:lang w:val="uk-UA"/>
        </w:rPr>
        <w:t xml:space="preserve">В порівнянні з відповідним періодом минулого року (в умовах діючого законодавства) до спеціального фонду за 6 місяців 2016 року надійшло доходів більше на 6460,7 тис. грн. Темп росту складає 227,5%. </w:t>
      </w:r>
    </w:p>
    <w:p w:rsidR="007F494C" w:rsidRPr="00390C7E" w:rsidRDefault="007F494C" w:rsidP="007F494C">
      <w:pPr>
        <w:tabs>
          <w:tab w:val="left" w:pos="1530"/>
        </w:tabs>
        <w:ind w:firstLine="900"/>
        <w:jc w:val="both"/>
        <w:rPr>
          <w:lang w:val="uk-UA"/>
        </w:rPr>
      </w:pPr>
      <w:r w:rsidRPr="00390C7E">
        <w:rPr>
          <w:lang w:val="uk-UA"/>
        </w:rPr>
        <w:t xml:space="preserve">Власні надходження бюджетних установ складають 3693,8% виконання. При уточненому плані на 2016 рік – 11758,4 тис </w:t>
      </w:r>
      <w:proofErr w:type="spellStart"/>
      <w:r w:rsidRPr="00390C7E">
        <w:rPr>
          <w:lang w:val="uk-UA"/>
        </w:rPr>
        <w:t>.грн</w:t>
      </w:r>
      <w:proofErr w:type="spellEnd"/>
      <w:r w:rsidRPr="00390C7E">
        <w:rPr>
          <w:lang w:val="uk-UA"/>
        </w:rPr>
        <w:t>., надійшло – 3693,8 тис. грн.  В порівнянні з відповідним періодом  минулого року цей вид надходжень збільшився на 1041,8 тис. грн. Темп росту складає 139,3%</w:t>
      </w:r>
    </w:p>
    <w:p w:rsidR="007F494C" w:rsidRPr="00390C7E" w:rsidRDefault="007F494C" w:rsidP="007F494C">
      <w:pPr>
        <w:pStyle w:val="aa"/>
        <w:ind w:firstLine="900"/>
        <w:jc w:val="both"/>
        <w:rPr>
          <w:szCs w:val="24"/>
          <w:lang w:val="uk-UA"/>
        </w:rPr>
      </w:pPr>
      <w:r w:rsidRPr="00390C7E">
        <w:rPr>
          <w:b/>
          <w:szCs w:val="24"/>
          <w:lang w:val="uk-UA"/>
        </w:rPr>
        <w:t>До бюджету розвитку надійшло</w:t>
      </w:r>
      <w:r w:rsidRPr="00390C7E">
        <w:rPr>
          <w:szCs w:val="24"/>
          <w:lang w:val="uk-UA"/>
        </w:rPr>
        <w:t xml:space="preserve">  7048,2 тис. грн., що на 18480,80 тис. грн. менше проти плану по цьому виду податку на рік та становить 27,6% виконання. В порівнянні з надходженнями за відповідний період минулого року бюджет розвитку збільшився на 5768,6 тис. грн. (Додаток №1).</w:t>
      </w:r>
    </w:p>
    <w:p w:rsidR="007F494C" w:rsidRPr="00390C7E" w:rsidRDefault="007F494C" w:rsidP="007F494C">
      <w:pPr>
        <w:pStyle w:val="aa"/>
        <w:jc w:val="both"/>
        <w:rPr>
          <w:szCs w:val="24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838825" cy="342900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494C" w:rsidRPr="00390C7E" w:rsidRDefault="007F494C" w:rsidP="007F494C">
      <w:pPr>
        <w:pStyle w:val="aa"/>
        <w:ind w:firstLine="900"/>
        <w:jc w:val="both"/>
        <w:rPr>
          <w:szCs w:val="24"/>
          <w:lang w:val="uk-UA"/>
        </w:rPr>
      </w:pPr>
    </w:p>
    <w:p w:rsidR="007F494C" w:rsidRPr="00390C7E" w:rsidRDefault="007F494C" w:rsidP="007F494C">
      <w:pPr>
        <w:pStyle w:val="aa"/>
        <w:ind w:firstLine="900"/>
        <w:jc w:val="both"/>
        <w:rPr>
          <w:lang w:val="uk-UA"/>
        </w:rPr>
      </w:pPr>
      <w:r w:rsidRPr="00390C7E">
        <w:rPr>
          <w:i/>
          <w:szCs w:val="24"/>
          <w:u w:val="single"/>
          <w:lang w:val="uk-UA"/>
        </w:rPr>
        <w:t xml:space="preserve"> У 1 півріччі 2016 року питома вага (55,4%) надходжень до бюджету розвитку </w:t>
      </w:r>
      <w:proofErr w:type="spellStart"/>
      <w:r w:rsidRPr="00390C7E">
        <w:rPr>
          <w:i/>
          <w:szCs w:val="24"/>
          <w:u w:val="single"/>
          <w:lang w:val="uk-UA"/>
        </w:rPr>
        <w:t>м.Буча</w:t>
      </w:r>
      <w:proofErr w:type="spellEnd"/>
      <w:r w:rsidRPr="00390C7E">
        <w:rPr>
          <w:i/>
          <w:szCs w:val="24"/>
          <w:u w:val="single"/>
          <w:lang w:val="uk-UA"/>
        </w:rPr>
        <w:t xml:space="preserve"> складають</w:t>
      </w:r>
      <w:r w:rsidRPr="00390C7E">
        <w:rPr>
          <w:i/>
          <w:u w:val="single"/>
          <w:lang w:val="uk-UA"/>
        </w:rPr>
        <w:t xml:space="preserve"> надходження коштів пайової участі у розвитку інфраструктури населеного пункту. </w:t>
      </w:r>
      <w:r w:rsidRPr="00390C7E">
        <w:rPr>
          <w:i/>
          <w:lang w:val="uk-UA"/>
        </w:rPr>
        <w:t xml:space="preserve"> З</w:t>
      </w:r>
      <w:r w:rsidRPr="00390C7E">
        <w:rPr>
          <w:lang w:val="uk-UA"/>
        </w:rPr>
        <w:t xml:space="preserve">а 6 місяців 2016 року надійшло 3901,5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>. В порівнянні з відповідним періодом минулого року надходження коштів пайової участі у розвитку інфраструктури населеного пункту збільшилися на 2814,1 тис. грн. Темп росту складає 358,8%. (Додаток №1)</w:t>
      </w:r>
    </w:p>
    <w:p w:rsidR="007F494C" w:rsidRPr="00390C7E" w:rsidRDefault="007F494C" w:rsidP="007F494C">
      <w:pPr>
        <w:pStyle w:val="aa"/>
        <w:ind w:firstLine="900"/>
        <w:jc w:val="both"/>
        <w:rPr>
          <w:szCs w:val="24"/>
          <w:lang w:val="uk-UA"/>
        </w:rPr>
      </w:pPr>
      <w:r w:rsidRPr="00390C7E">
        <w:rPr>
          <w:i/>
          <w:szCs w:val="24"/>
          <w:u w:val="single"/>
          <w:lang w:val="uk-UA"/>
        </w:rPr>
        <w:t>42,8% надходжень до бюджету розвитку - це надходження коштів від продажу земельних ділянок</w:t>
      </w:r>
      <w:r w:rsidRPr="00390C7E">
        <w:rPr>
          <w:szCs w:val="24"/>
          <w:lang w:val="uk-UA"/>
        </w:rPr>
        <w:t xml:space="preserve"> несільськогосподарського призначення до розмежування земель державної та комунальної власності (крім земельних ділянок несільськогосподарського призначення, що перебувають у державній власності, на яких розташовані об’єкти, які підлягають приватизації, та земельних ділянок, які знаходяться на території АРК» (код 330100).  За 6 місяців 2016 року вони становлять 3017,6 </w:t>
      </w:r>
      <w:proofErr w:type="spellStart"/>
      <w:r w:rsidRPr="00390C7E">
        <w:rPr>
          <w:szCs w:val="24"/>
          <w:lang w:val="uk-UA"/>
        </w:rPr>
        <w:t>тис.грн</w:t>
      </w:r>
      <w:proofErr w:type="spellEnd"/>
      <w:r w:rsidRPr="00390C7E">
        <w:rPr>
          <w:szCs w:val="24"/>
          <w:lang w:val="uk-UA"/>
        </w:rPr>
        <w:t xml:space="preserve">.,що складає 54,9% річного плану. У порівнянні з відповідним періодом  минулого року надходження даного виду коштів збільшилися на 2825,4 </w:t>
      </w:r>
      <w:proofErr w:type="spellStart"/>
      <w:r w:rsidRPr="00390C7E">
        <w:rPr>
          <w:szCs w:val="24"/>
          <w:lang w:val="uk-UA"/>
        </w:rPr>
        <w:t>тис.грн</w:t>
      </w:r>
      <w:proofErr w:type="spellEnd"/>
      <w:r w:rsidRPr="00390C7E">
        <w:rPr>
          <w:szCs w:val="24"/>
          <w:lang w:val="uk-UA"/>
        </w:rPr>
        <w:t>. Темп росту складає 1570,0%.</w:t>
      </w:r>
    </w:p>
    <w:p w:rsidR="007F494C" w:rsidRPr="00390C7E" w:rsidRDefault="007F494C" w:rsidP="007F494C">
      <w:pPr>
        <w:pStyle w:val="aa"/>
        <w:ind w:firstLine="900"/>
        <w:jc w:val="both"/>
        <w:rPr>
          <w:szCs w:val="24"/>
          <w:lang w:val="uk-UA"/>
        </w:rPr>
      </w:pPr>
      <w:r w:rsidRPr="00390C7E">
        <w:rPr>
          <w:lang w:val="uk-UA"/>
        </w:rPr>
        <w:t xml:space="preserve">1,8% надходження до бюджету розвитку складають </w:t>
      </w:r>
      <w:r w:rsidRPr="00390C7E">
        <w:rPr>
          <w:i/>
          <w:szCs w:val="24"/>
          <w:u w:val="single"/>
          <w:lang w:val="uk-UA"/>
        </w:rPr>
        <w:t>надходження коштів  від відчуження майна, що перебуває в комунальній власності</w:t>
      </w:r>
      <w:r w:rsidRPr="00390C7E">
        <w:rPr>
          <w:szCs w:val="24"/>
          <w:lang w:val="uk-UA"/>
        </w:rPr>
        <w:t xml:space="preserve"> (код 310300) за 6 місяці 2016 року були в сумі 129,0 </w:t>
      </w:r>
      <w:proofErr w:type="spellStart"/>
      <w:r w:rsidRPr="00390C7E">
        <w:rPr>
          <w:szCs w:val="24"/>
          <w:lang w:val="uk-UA"/>
        </w:rPr>
        <w:t>тис.грн</w:t>
      </w:r>
      <w:proofErr w:type="spellEnd"/>
      <w:r w:rsidRPr="00390C7E">
        <w:rPr>
          <w:szCs w:val="24"/>
          <w:lang w:val="uk-UA"/>
        </w:rPr>
        <w:t>., що складає 100,0% виконання плану на 2016 рік. За відповідний період минулого року даний вид коштів не надходив.</w:t>
      </w:r>
    </w:p>
    <w:p w:rsidR="007F494C" w:rsidRPr="007C1928" w:rsidRDefault="007F494C" w:rsidP="007F494C">
      <w:pPr>
        <w:tabs>
          <w:tab w:val="left" w:pos="1530"/>
        </w:tabs>
        <w:ind w:firstLine="900"/>
        <w:jc w:val="both"/>
        <w:rPr>
          <w:sz w:val="28"/>
          <w:szCs w:val="28"/>
          <w:lang w:val="uk-UA"/>
        </w:rPr>
      </w:pPr>
      <w:r w:rsidRPr="00390C7E">
        <w:rPr>
          <w:lang w:val="uk-UA"/>
        </w:rPr>
        <w:t>У 1 півріччі 2016 року надходження до цільового фонду, створеного ВР АРК, органами місцевого самоврядування і місцевими органами виконавчої влади (</w:t>
      </w:r>
      <w:r w:rsidRPr="00390C7E">
        <w:rPr>
          <w:b/>
          <w:i/>
          <w:u w:val="single"/>
          <w:lang w:val="uk-UA"/>
        </w:rPr>
        <w:t>по коду 50110000</w:t>
      </w:r>
      <w:r w:rsidRPr="00390C7E">
        <w:rPr>
          <w:lang w:val="uk-UA"/>
        </w:rPr>
        <w:t xml:space="preserve">) становлять 773,2 тис. грн., що складає 38,9% річного плану та на 348,6 </w:t>
      </w:r>
      <w:proofErr w:type="spellStart"/>
      <w:r w:rsidRPr="00390C7E">
        <w:rPr>
          <w:lang w:val="uk-UA"/>
        </w:rPr>
        <w:t>тис.грн</w:t>
      </w:r>
      <w:proofErr w:type="spellEnd"/>
      <w:r w:rsidRPr="00390C7E">
        <w:rPr>
          <w:lang w:val="uk-UA"/>
        </w:rPr>
        <w:t xml:space="preserve"> менше в порівнянні з відповідним періодом минулого року. Кошти надходять як відшкодування </w:t>
      </w:r>
      <w:proofErr w:type="spellStart"/>
      <w:r w:rsidRPr="00390C7E">
        <w:t>відновн</w:t>
      </w:r>
      <w:r w:rsidRPr="00390C7E">
        <w:rPr>
          <w:lang w:val="uk-UA"/>
        </w:rPr>
        <w:t>ої</w:t>
      </w:r>
      <w:proofErr w:type="spellEnd"/>
      <w:r w:rsidRPr="00390C7E">
        <w:t xml:space="preserve"> </w:t>
      </w:r>
      <w:proofErr w:type="spellStart"/>
      <w:r w:rsidRPr="00390C7E">
        <w:t>варт</w:t>
      </w:r>
      <w:proofErr w:type="spellEnd"/>
      <w:r w:rsidRPr="00390C7E">
        <w:rPr>
          <w:lang w:val="uk-UA"/>
        </w:rPr>
        <w:t>ості зелених насаджень, як</w:t>
      </w:r>
      <w:r w:rsidRPr="00390C7E">
        <w:rPr>
          <w:bCs/>
          <w:iCs/>
          <w:lang w:val="uk-UA"/>
        </w:rPr>
        <w:t xml:space="preserve"> </w:t>
      </w:r>
      <w:r w:rsidRPr="00390C7E">
        <w:t xml:space="preserve">плата за </w:t>
      </w:r>
      <w:r w:rsidRPr="00390C7E">
        <w:rPr>
          <w:lang w:val="uk-UA"/>
        </w:rPr>
        <w:t xml:space="preserve">фактичне </w:t>
      </w:r>
      <w:proofErr w:type="spellStart"/>
      <w:r w:rsidRPr="00390C7E">
        <w:t>користування</w:t>
      </w:r>
      <w:proofErr w:type="spellEnd"/>
      <w:r w:rsidRPr="00390C7E">
        <w:t xml:space="preserve"> </w:t>
      </w:r>
      <w:proofErr w:type="spellStart"/>
      <w:r w:rsidRPr="00390C7E">
        <w:t>земельн</w:t>
      </w:r>
      <w:r w:rsidRPr="00390C7E">
        <w:rPr>
          <w:lang w:val="uk-UA"/>
        </w:rPr>
        <w:t>ими</w:t>
      </w:r>
      <w:proofErr w:type="spellEnd"/>
      <w:r w:rsidRPr="00390C7E">
        <w:t xml:space="preserve"> </w:t>
      </w:r>
      <w:proofErr w:type="spellStart"/>
      <w:r w:rsidRPr="00390C7E">
        <w:t>діл</w:t>
      </w:r>
      <w:proofErr w:type="spellEnd"/>
      <w:r w:rsidRPr="00390C7E">
        <w:rPr>
          <w:lang w:val="uk-UA"/>
        </w:rPr>
        <w:t>я</w:t>
      </w:r>
      <w:proofErr w:type="spellStart"/>
      <w:r w:rsidRPr="00390C7E">
        <w:t>нк</w:t>
      </w:r>
      <w:r w:rsidRPr="00390C7E">
        <w:rPr>
          <w:lang w:val="uk-UA"/>
        </w:rPr>
        <w:t>ами</w:t>
      </w:r>
      <w:proofErr w:type="spellEnd"/>
      <w:r w:rsidRPr="00390C7E">
        <w:rPr>
          <w:lang w:val="uk-UA"/>
        </w:rPr>
        <w:t>,</w:t>
      </w:r>
      <w:r w:rsidRPr="00390C7E">
        <w:rPr>
          <w:bCs/>
          <w:iCs/>
          <w:lang w:val="uk-UA"/>
        </w:rPr>
        <w:t xml:space="preserve"> кошти, отримані за договорами про встановлення</w:t>
      </w:r>
      <w:r w:rsidRPr="00390C7E">
        <w:t xml:space="preserve"> </w:t>
      </w:r>
      <w:proofErr w:type="spellStart"/>
      <w:r w:rsidRPr="00390C7E">
        <w:t>особист</w:t>
      </w:r>
      <w:r w:rsidRPr="00390C7E">
        <w:rPr>
          <w:lang w:val="uk-UA"/>
        </w:rPr>
        <w:t>ого</w:t>
      </w:r>
      <w:proofErr w:type="spellEnd"/>
      <w:r w:rsidRPr="00390C7E">
        <w:t xml:space="preserve"> </w:t>
      </w:r>
      <w:proofErr w:type="spellStart"/>
      <w:r w:rsidRPr="00390C7E">
        <w:t>строков</w:t>
      </w:r>
      <w:r w:rsidRPr="00390C7E">
        <w:rPr>
          <w:lang w:val="uk-UA"/>
        </w:rPr>
        <w:t>ого</w:t>
      </w:r>
      <w:proofErr w:type="spellEnd"/>
      <w:r w:rsidRPr="00390C7E">
        <w:rPr>
          <w:lang w:val="uk-UA"/>
        </w:rPr>
        <w:t xml:space="preserve"> </w:t>
      </w:r>
      <w:proofErr w:type="spellStart"/>
      <w:r w:rsidRPr="00390C7E">
        <w:t>сервітут</w:t>
      </w:r>
      <w:proofErr w:type="spellEnd"/>
      <w:r w:rsidRPr="00390C7E">
        <w:rPr>
          <w:lang w:val="uk-UA"/>
        </w:rPr>
        <w:t xml:space="preserve">у </w:t>
      </w:r>
      <w:r w:rsidRPr="00390C7E">
        <w:rPr>
          <w:bCs/>
          <w:iCs/>
          <w:lang w:val="uk-UA"/>
        </w:rPr>
        <w:t>та ін.</w:t>
      </w:r>
    </w:p>
    <w:p w:rsidR="007F494C" w:rsidRPr="00DB73A9" w:rsidRDefault="007F494C" w:rsidP="007F494C">
      <w:pPr>
        <w:rPr>
          <w:lang w:val="uk-UA"/>
        </w:rPr>
      </w:pPr>
    </w:p>
    <w:p w:rsidR="007F494C" w:rsidRPr="007C1928" w:rsidRDefault="007F494C" w:rsidP="007F494C">
      <w:pPr>
        <w:tabs>
          <w:tab w:val="left" w:pos="1530"/>
        </w:tabs>
        <w:ind w:firstLine="900"/>
        <w:jc w:val="both"/>
        <w:rPr>
          <w:bCs/>
          <w:iCs/>
          <w:lang w:val="uk-UA"/>
        </w:rPr>
      </w:pPr>
    </w:p>
    <w:p w:rsidR="007F494C" w:rsidRPr="007C1928" w:rsidRDefault="007F494C" w:rsidP="007F494C">
      <w:pPr>
        <w:tabs>
          <w:tab w:val="left" w:pos="1530"/>
        </w:tabs>
        <w:ind w:firstLine="900"/>
        <w:jc w:val="both"/>
        <w:rPr>
          <w:bCs/>
          <w:iCs/>
          <w:lang w:val="uk-UA"/>
        </w:rPr>
      </w:pPr>
    </w:p>
    <w:p w:rsidR="007F494C" w:rsidRDefault="007F494C" w:rsidP="007F494C">
      <w:pPr>
        <w:tabs>
          <w:tab w:val="left" w:pos="1530"/>
        </w:tabs>
        <w:ind w:firstLine="900"/>
        <w:jc w:val="center"/>
        <w:rPr>
          <w:b/>
          <w:bCs/>
          <w:iCs/>
          <w:sz w:val="28"/>
          <w:szCs w:val="28"/>
          <w:lang w:val="uk-UA"/>
        </w:rPr>
      </w:pPr>
    </w:p>
    <w:p w:rsidR="009030C5" w:rsidRDefault="007F494C" w:rsidP="007F494C">
      <w:pPr>
        <w:tabs>
          <w:tab w:val="left" w:pos="1530"/>
        </w:tabs>
        <w:ind w:firstLine="900"/>
        <w:jc w:val="both"/>
      </w:pPr>
      <w:r w:rsidRPr="007C1928">
        <w:rPr>
          <w:sz w:val="28"/>
          <w:szCs w:val="28"/>
          <w:lang w:val="uk-UA"/>
        </w:rPr>
        <w:t>Н</w:t>
      </w:r>
      <w:proofErr w:type="spellStart"/>
      <w:r w:rsidRPr="007C1928">
        <w:rPr>
          <w:sz w:val="28"/>
          <w:szCs w:val="28"/>
        </w:rPr>
        <w:t>ачальник</w:t>
      </w:r>
      <w:proofErr w:type="spellEnd"/>
      <w:r w:rsidRPr="007C1928">
        <w:rPr>
          <w:sz w:val="28"/>
          <w:szCs w:val="28"/>
          <w:lang w:val="uk-UA"/>
        </w:rPr>
        <w:t xml:space="preserve"> </w:t>
      </w:r>
      <w:proofErr w:type="spellStart"/>
      <w:r w:rsidRPr="007C1928">
        <w:rPr>
          <w:sz w:val="28"/>
          <w:szCs w:val="28"/>
        </w:rPr>
        <w:t>фінансового</w:t>
      </w:r>
      <w:proofErr w:type="spellEnd"/>
      <w:r w:rsidRPr="007C1928">
        <w:rPr>
          <w:sz w:val="28"/>
          <w:szCs w:val="28"/>
        </w:rPr>
        <w:t xml:space="preserve"> </w:t>
      </w:r>
      <w:proofErr w:type="spellStart"/>
      <w:r w:rsidRPr="007C1928">
        <w:rPr>
          <w:sz w:val="28"/>
          <w:szCs w:val="28"/>
        </w:rPr>
        <w:t>управління</w:t>
      </w:r>
      <w:proofErr w:type="spellEnd"/>
      <w:r w:rsidRPr="007C1928">
        <w:rPr>
          <w:sz w:val="28"/>
          <w:szCs w:val="28"/>
        </w:rPr>
        <w:t xml:space="preserve">    </w:t>
      </w:r>
      <w:r w:rsidRPr="007C1928">
        <w:rPr>
          <w:sz w:val="28"/>
          <w:szCs w:val="28"/>
          <w:lang w:val="uk-UA"/>
        </w:rPr>
        <w:t xml:space="preserve">            </w:t>
      </w:r>
      <w:r w:rsidRPr="007C1928">
        <w:rPr>
          <w:sz w:val="28"/>
          <w:szCs w:val="28"/>
        </w:rPr>
        <w:t xml:space="preserve">                     </w:t>
      </w:r>
      <w:r w:rsidRPr="007C1928">
        <w:rPr>
          <w:sz w:val="28"/>
          <w:szCs w:val="28"/>
          <w:lang w:val="uk-UA"/>
        </w:rPr>
        <w:t>Т.А.</w:t>
      </w:r>
      <w:proofErr w:type="spellStart"/>
      <w:r w:rsidRPr="007C1928">
        <w:rPr>
          <w:sz w:val="28"/>
          <w:szCs w:val="28"/>
          <w:lang w:val="uk-UA"/>
        </w:rPr>
        <w:t>Сімон</w:t>
      </w:r>
      <w:proofErr w:type="spellEnd"/>
    </w:p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DFE"/>
    <w:multiLevelType w:val="hybridMultilevel"/>
    <w:tmpl w:val="7966CC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5087C9B"/>
    <w:multiLevelType w:val="hybridMultilevel"/>
    <w:tmpl w:val="13AC168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804A0C"/>
    <w:multiLevelType w:val="hybridMultilevel"/>
    <w:tmpl w:val="FF4C9B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2C21C6"/>
    <w:multiLevelType w:val="hybridMultilevel"/>
    <w:tmpl w:val="070CAF4A"/>
    <w:lvl w:ilvl="0" w:tplc="34A27CA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94C"/>
    <w:rsid w:val="007F494C"/>
    <w:rsid w:val="008141FA"/>
    <w:rsid w:val="009030C5"/>
    <w:rsid w:val="00F7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9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494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9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F494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rsid w:val="007F494C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F494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5">
    <w:name w:val="Знак"/>
    <w:basedOn w:val="a"/>
    <w:rsid w:val="007F494C"/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F4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9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F49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F4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F49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F49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F49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F4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7F494C"/>
    <w:pPr>
      <w:spacing w:before="100" w:after="100"/>
    </w:pPr>
    <w:rPr>
      <w:szCs w:val="20"/>
    </w:rPr>
  </w:style>
  <w:style w:type="character" w:customStyle="1" w:styleId="rvts0">
    <w:name w:val="rvts0"/>
    <w:basedOn w:val="a0"/>
    <w:rsid w:val="007F4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     Структура доходів загального фонду м. Буча за 1 півріччя 2016р 
 (без офіційних трансфертів) тис.грн
</a:t>
            </a:r>
          </a:p>
        </c:rich>
      </c:tx>
      <c:layout>
        <c:manualLayout>
          <c:xMode val="edge"/>
          <c:yMode val="edge"/>
          <c:x val="8.1314878892733575E-2"/>
          <c:y val="0"/>
        </c:manualLayout>
      </c:layout>
      <c:spPr>
        <a:noFill/>
        <a:ln w="25399">
          <a:noFill/>
        </a:ln>
      </c:spPr>
    </c:title>
    <c:view3D>
      <c:rotY val="80"/>
      <c:perspective val="0"/>
    </c:view3D>
    <c:plotArea>
      <c:layout>
        <c:manualLayout>
          <c:layoutTarget val="inner"/>
          <c:xMode val="edge"/>
          <c:yMode val="edge"/>
          <c:x val="0.26124567474048443"/>
          <c:y val="0.38888888888888962"/>
          <c:w val="0.50173010380622796"/>
          <c:h val="0.33625730994152048"/>
        </c:manualLayout>
      </c:layout>
      <c:pie3DChart>
        <c:varyColors val="1"/>
        <c:ser>
          <c:idx val="0"/>
          <c:order val="0"/>
          <c:spPr>
            <a:ln w="12699">
              <a:solidFill>
                <a:srgbClr val="000000"/>
              </a:solidFill>
              <a:prstDash val="solid"/>
            </a:ln>
          </c:spPr>
          <c:explosion val="32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2453195129178981E-2"/>
                  <c:y val="0.16615972196059253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-3.7298184893219184E-2"/>
                  <c:y val="3.9040142410428497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-7.4883108034898213E-2"/>
                  <c:y val="-9.892545429428988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 val="7.1100670255732773E-2"/>
                  <c:y val="-0.1238403774587985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4"/>
              <c:layout>
                <c:manualLayout>
                  <c:x val="7.2038313138728119E-2"/>
                  <c:y val="-0.1454880497892310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5"/>
              <c:layout>
                <c:manualLayout>
                  <c:x val="8.9926324125094464E-2"/>
                  <c:y val="-1.3754248870804876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6"/>
              <c:layout>
                <c:manualLayout>
                  <c:xMode val="edge"/>
                  <c:yMode val="edge"/>
                  <c:x val="0.94982698961937762"/>
                  <c:y val="0.4298245614035092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7"/>
              <c:layout>
                <c:manualLayout>
                  <c:xMode val="edge"/>
                  <c:yMode val="edge"/>
                  <c:x val="0.69377162629757894"/>
                  <c:y val="0.21345029239766103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8"/>
              <c:layout>
                <c:manualLayout>
                  <c:xMode val="edge"/>
                  <c:yMode val="edge"/>
                  <c:x val="0.73875432525951612"/>
                  <c:y val="0.45614035087719279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9"/>
              <c:layout>
                <c:manualLayout>
                  <c:xMode val="edge"/>
                  <c:yMode val="edge"/>
                  <c:x val="0.73010380622837456"/>
                  <c:y val="0.33333333333333331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0"/>
              <c:layout>
                <c:manualLayout>
                  <c:xMode val="edge"/>
                  <c:yMode val="edge"/>
                  <c:x val="0.73875432525951612"/>
                  <c:y val="0.57894736842105254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1"/>
              <c:layout>
                <c:manualLayout>
                  <c:xMode val="edge"/>
                  <c:yMode val="edge"/>
                  <c:x val="0.71972318339100361"/>
                  <c:y val="0.76023391812865493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2"/>
              <c:layout>
                <c:manualLayout>
                  <c:xMode val="edge"/>
                  <c:yMode val="edge"/>
                  <c:x val="0.74567474048442972"/>
                  <c:y val="0.66081871345029308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numFmt formatCode="0.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</c:dLbls>
          <c:cat>
            <c:strRef>
              <c:f>Лист1!$A$1:$A$6</c:f>
              <c:strCache>
                <c:ptCount val="6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Деpжавне мито </c:v>
                </c:pt>
                <c:pt idx="3">
                  <c:v>Єдиний податок</c:v>
                </c:pt>
                <c:pt idx="4">
                  <c:v>Акцизний податок</c:v>
                </c:pt>
                <c:pt idx="5">
                  <c:v>Інші податки</c:v>
                </c:pt>
              </c:strCache>
            </c:strRef>
          </c:cat>
          <c:val>
            <c:numRef>
              <c:f>Лист1!$B$1:$B$6</c:f>
              <c:numCache>
                <c:formatCode>0.0</c:formatCode>
                <c:ptCount val="6"/>
                <c:pt idx="0">
                  <c:v>17766.5</c:v>
                </c:pt>
                <c:pt idx="1">
                  <c:v>22120.6</c:v>
                </c:pt>
                <c:pt idx="2">
                  <c:v>104</c:v>
                </c:pt>
                <c:pt idx="3">
                  <c:v>8658.4</c:v>
                </c:pt>
                <c:pt idx="4">
                  <c:v>9843.299999999992</c:v>
                </c:pt>
                <c:pt idx="5">
                  <c:v>380.5</c:v>
                </c:pt>
              </c:numCache>
            </c:numRef>
          </c:val>
        </c:ser>
        <c:dLbls>
          <c:showVal val="1"/>
          <c:showCatName val="1"/>
          <c:showPercent val="1"/>
          <c:separator>
</c:separator>
        </c:dLbls>
      </c:pie3DChart>
      <c:spPr>
        <a:noFill/>
        <a:ln w="25399">
          <a:noFill/>
        </a:ln>
      </c:spPr>
    </c:plotArea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    </a:t>
            </a:r>
          </a:p>
        </c:rich>
      </c:tx>
      <c:layout>
        <c:manualLayout>
          <c:xMode val="edge"/>
          <c:yMode val="edge"/>
          <c:x val="0.45847750865051901"/>
          <c:y val="0"/>
        </c:manualLayout>
      </c:layout>
      <c:spPr>
        <a:noFill/>
        <a:ln w="25399">
          <a:noFill/>
        </a:ln>
      </c:spPr>
    </c:title>
    <c:view3D>
      <c:rotY val="170"/>
      <c:perspective val="0"/>
    </c:view3D>
    <c:plotArea>
      <c:layout>
        <c:manualLayout>
          <c:layoutTarget val="inner"/>
          <c:xMode val="edge"/>
          <c:yMode val="edge"/>
          <c:x val="0.27162629757785511"/>
          <c:y val="0.15547703180212047"/>
          <c:w val="0.37024221453287198"/>
          <c:h val="0.30035335689045961"/>
        </c:manualLayout>
      </c:layout>
      <c:pie3DChart>
        <c:varyColors val="1"/>
        <c:ser>
          <c:idx val="0"/>
          <c:order val="0"/>
          <c:spPr>
            <a:ln w="12699">
              <a:solidFill>
                <a:srgbClr val="000000"/>
              </a:solidFill>
              <a:prstDash val="solid"/>
            </a:ln>
          </c:spPr>
          <c:explosion val="32"/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9.0535550966081582E-2"/>
                  <c:y val="5.4132737261000319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0.14723189234880871"/>
                  <c:y val="-1.2239851185764913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1.9772945471951929E-2"/>
                  <c:y val="3.3707438423210251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Mode val="edge"/>
                  <c:yMode val="edge"/>
                  <c:x val="0.32871972318339121"/>
                  <c:y val="0.18374558303886937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4"/>
              <c:layout>
                <c:manualLayout>
                  <c:xMode val="edge"/>
                  <c:yMode val="edge"/>
                  <c:x val="0.6764705882352946"/>
                  <c:y val="0.17314487632508835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5"/>
              <c:layout>
                <c:manualLayout>
                  <c:xMode val="edge"/>
                  <c:yMode val="edge"/>
                  <c:x val="0.74567474048442972"/>
                  <c:y val="0.4558303886925795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6"/>
              <c:layout>
                <c:manualLayout>
                  <c:xMode val="edge"/>
                  <c:yMode val="edge"/>
                  <c:x val="0.94982698961937762"/>
                  <c:y val="0.51943462897526427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7"/>
              <c:layout>
                <c:manualLayout>
                  <c:xMode val="edge"/>
                  <c:yMode val="edge"/>
                  <c:x val="0.69377162629757883"/>
                  <c:y val="0.25795053003533569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8"/>
              <c:layout>
                <c:manualLayout>
                  <c:xMode val="edge"/>
                  <c:yMode val="edge"/>
                  <c:x val="0.73875432525951612"/>
                  <c:y val="0.55123674911660725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9"/>
              <c:layout>
                <c:manualLayout>
                  <c:xMode val="edge"/>
                  <c:yMode val="edge"/>
                  <c:x val="0.73010380622837456"/>
                  <c:y val="0.40282685512367533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0"/>
              <c:layout>
                <c:manualLayout>
                  <c:xMode val="edge"/>
                  <c:yMode val="edge"/>
                  <c:x val="0.73875432525951612"/>
                  <c:y val="0.69964664310954106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1"/>
              <c:layout>
                <c:manualLayout>
                  <c:xMode val="edge"/>
                  <c:yMode val="edge"/>
                  <c:x val="0.71972318339100361"/>
                  <c:y val="0.9187279151943466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2"/>
              <c:layout>
                <c:manualLayout>
                  <c:xMode val="edge"/>
                  <c:yMode val="edge"/>
                  <c:x val="0.74567474048442972"/>
                  <c:y val="0.79858657243816267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numFmt formatCode="0.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</c:dLbls>
          <c:cat>
            <c:strRef>
              <c:f>Лист1!$A$1:$A$3</c:f>
              <c:strCache>
                <c:ptCount val="3"/>
                <c:pt idx="0">
                  <c:v>Податок на нерухоме майно, відмінне від земельної ділянки</c:v>
                </c:pt>
                <c:pt idx="1">
                  <c:v>Плата за землю</c:v>
                </c:pt>
                <c:pt idx="2">
                  <c:v>Транспортний податок</c:v>
                </c:pt>
              </c:strCache>
            </c:strRef>
          </c:cat>
          <c:val>
            <c:numRef>
              <c:f>Лист1!$B$1:$B$3</c:f>
              <c:numCache>
                <c:formatCode>0.0</c:formatCode>
                <c:ptCount val="3"/>
                <c:pt idx="0">
                  <c:v>1167.3</c:v>
                </c:pt>
                <c:pt idx="1">
                  <c:v>20835</c:v>
                </c:pt>
                <c:pt idx="2">
                  <c:v>118.3</c:v>
                </c:pt>
              </c:numCache>
            </c:numRef>
          </c:val>
        </c:ser>
        <c:dLbls>
          <c:showVal val="1"/>
          <c:showCatName val="1"/>
          <c:showPercent val="1"/>
          <c:separator>
</c:separator>
        </c:dLbls>
      </c:pie3DChart>
      <c:spPr>
        <a:noFill/>
        <a:ln w="25399">
          <a:noFill/>
        </a:ln>
      </c:spPr>
    </c:plotArea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t>      Структура доходів загального фонду м.Буча за 1 півріччя 2016 року
(включаючи офіційні трансферти), тис.грн.</a:t>
            </a:r>
          </a:p>
        </c:rich>
      </c:tx>
      <c:layout>
        <c:manualLayout>
          <c:xMode val="edge"/>
          <c:yMode val="edge"/>
          <c:x val="0.10280373831775701"/>
          <c:y val="0"/>
        </c:manualLayout>
      </c:layout>
      <c:spPr>
        <a:noFill/>
        <a:ln w="25399">
          <a:noFill/>
        </a:ln>
      </c:spPr>
    </c:title>
    <c:view3D>
      <c:rotY val="60"/>
      <c:perspective val="0"/>
    </c:view3D>
    <c:plotArea>
      <c:layout>
        <c:manualLayout>
          <c:layoutTarget val="inner"/>
          <c:xMode val="edge"/>
          <c:yMode val="edge"/>
          <c:x val="0.30841121495327123"/>
          <c:y val="0.38795986622073603"/>
          <c:w val="0.40654205607476634"/>
          <c:h val="0.34448160535117084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32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76791277258566981"/>
                  <c:y val="0.39130434782608736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Mode val="edge"/>
                  <c:yMode val="edge"/>
                  <c:x val="0.69626168224299068"/>
                  <c:y val="0.68561872909698951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Mode val="edge"/>
                  <c:yMode val="edge"/>
                  <c:x val="0.49844236760124655"/>
                  <c:y val="0.8729096989966556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Mode val="edge"/>
                  <c:yMode val="edge"/>
                  <c:x val="0.28037383177570113"/>
                  <c:y val="0.72575250836120397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4"/>
              <c:layout>
                <c:manualLayout>
                  <c:xMode val="edge"/>
                  <c:yMode val="edge"/>
                  <c:x val="7.9439252336448649E-2"/>
                  <c:y val="0.54849498327759194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5"/>
              <c:layout>
                <c:manualLayout>
                  <c:xMode val="edge"/>
                  <c:yMode val="edge"/>
                  <c:x val="0.15420560747663561"/>
                  <c:y val="0.2040133779264215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6"/>
              <c:layout>
                <c:manualLayout>
                  <c:xMode val="edge"/>
                  <c:yMode val="edge"/>
                  <c:x val="0.76323987538940885"/>
                  <c:y val="0.21070234113712405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7"/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8"/>
              <c:layout>
                <c:manualLayout>
                  <c:xMode val="edge"/>
                  <c:yMode val="edge"/>
                  <c:x val="0.66510903426791324"/>
                  <c:y val="0.52173913043478315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9"/>
              <c:layout>
                <c:manualLayout>
                  <c:xMode val="edge"/>
                  <c:yMode val="edge"/>
                  <c:x val="0.65732087227414426"/>
                  <c:y val="0.38127090301003375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0"/>
              <c:layout>
                <c:manualLayout>
                  <c:xMode val="edge"/>
                  <c:yMode val="edge"/>
                  <c:x val="0.66510903426791324"/>
                  <c:y val="0.66220735785953222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1"/>
              <c:layout>
                <c:manualLayout>
                  <c:xMode val="edge"/>
                  <c:yMode val="edge"/>
                  <c:x val="0.64797507788162034"/>
                  <c:y val="0.86956521739130477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2"/>
              <c:layout>
                <c:manualLayout>
                  <c:xMode val="edge"/>
                  <c:yMode val="edge"/>
                  <c:x val="0.67133956386292837"/>
                  <c:y val="0.7558528428093646"/>
                </c:manualLayout>
              </c:layout>
              <c:numFmt formatCode="0.0%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numFmt formatCode="0.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</c:dLbls>
          <c:cat>
            <c:strRef>
              <c:f>Лист1!$A$1:$A$7</c:f>
              <c:strCache>
                <c:ptCount val="7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Деpжавне мито </c:v>
                </c:pt>
                <c:pt idx="3">
                  <c:v>Єдиний податок</c:v>
                </c:pt>
                <c:pt idx="4">
                  <c:v>Акцизний податок</c:v>
                </c:pt>
                <c:pt idx="5">
                  <c:v>Офіційні трансферти</c:v>
                </c:pt>
                <c:pt idx="6">
                  <c:v>Інші податки</c:v>
                </c:pt>
              </c:strCache>
            </c:strRef>
          </c:cat>
          <c:val>
            <c:numRef>
              <c:f>Лист1!$B$1:$B$7</c:f>
              <c:numCache>
                <c:formatCode>0.0</c:formatCode>
                <c:ptCount val="7"/>
                <c:pt idx="0">
                  <c:v>17766.5</c:v>
                </c:pt>
                <c:pt idx="1">
                  <c:v>22120.6</c:v>
                </c:pt>
                <c:pt idx="2">
                  <c:v>104</c:v>
                </c:pt>
                <c:pt idx="3">
                  <c:v>8658.4</c:v>
                </c:pt>
                <c:pt idx="4">
                  <c:v>9843.299999999992</c:v>
                </c:pt>
                <c:pt idx="5">
                  <c:v>61186.8</c:v>
                </c:pt>
                <c:pt idx="6">
                  <c:v>380.5</c:v>
                </c:pt>
              </c:numCache>
            </c:numRef>
          </c:val>
        </c:ser>
        <c:dLbls>
          <c:showVal val="1"/>
          <c:showCatName val="1"/>
          <c:showPercent val="1"/>
          <c:separator>
</c:separator>
        </c:dLbls>
      </c:pie3DChart>
      <c:spPr>
        <a:noFill/>
        <a:ln w="25399">
          <a:noFill/>
        </a:ln>
      </c:spPr>
    </c:plotArea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     Структура доходів спеціального фонду міського бюджету м. Буча у 1 півріччя  2016 року
</a:t>
            </a:r>
          </a:p>
        </c:rich>
      </c:tx>
      <c:layout>
        <c:manualLayout>
          <c:xMode val="edge"/>
          <c:yMode val="edge"/>
          <c:x val="8.8888888888888962E-2"/>
          <c:y val="0"/>
        </c:manualLayout>
      </c:layout>
      <c:spPr>
        <a:noFill/>
        <a:ln w="25400">
          <a:noFill/>
        </a:ln>
      </c:spPr>
    </c:title>
    <c:view3D>
      <c:rotY val="200"/>
      <c:perspective val="0"/>
    </c:view3D>
    <c:plotArea>
      <c:layout>
        <c:manualLayout>
          <c:layoutTarget val="inner"/>
          <c:xMode val="edge"/>
          <c:yMode val="edge"/>
          <c:x val="0.24920634920634932"/>
          <c:y val="0.39639639639639662"/>
          <c:w val="0.52539682539682542"/>
          <c:h val="0.29504504504504508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32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3497638068252386E-2"/>
                  <c:y val="2.1685939989731357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-5.1028434238231946E-2"/>
                  <c:y val="-0.17157962812095795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-4.302581912050369E-2"/>
                  <c:y val="-0.1894852843061246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 val="1.4763423682804181E-2"/>
                  <c:y val="-0.18618202579422191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4"/>
              <c:layout>
                <c:manualLayout>
                  <c:x val="3.1688683220369752E-2"/>
                  <c:y val="9.1687052483125933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5"/>
              <c:layout>
                <c:manualLayout>
                  <c:x val="1.344234466791514E-2"/>
                  <c:y val="6.649996453146069E-2"/>
                </c:manualLayout>
              </c:layout>
              <c:numFmt formatCode="0.0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6"/>
              <c:layout>
                <c:manualLayout>
                  <c:xMode val="edge"/>
                  <c:yMode val="edge"/>
                  <c:x val="4.1269841269841269E-2"/>
                  <c:y val="0.27927927927927954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7"/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8"/>
              <c:layout>
                <c:manualLayout>
                  <c:xMode val="edge"/>
                  <c:yMode val="edge"/>
                  <c:x val="0.67777777777777826"/>
                  <c:y val="0.35135135135135137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9"/>
              <c:layout>
                <c:manualLayout>
                  <c:xMode val="edge"/>
                  <c:yMode val="edge"/>
                  <c:x val="0.66984126984126979"/>
                  <c:y val="0.25675675675675674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0"/>
              <c:layout>
                <c:manualLayout>
                  <c:xMode val="edge"/>
                  <c:yMode val="edge"/>
                  <c:x val="0.67777777777777826"/>
                  <c:y val="0.44594594594594616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1"/>
              <c:layout>
                <c:manualLayout>
                  <c:xMode val="edge"/>
                  <c:yMode val="edge"/>
                  <c:x val="0.6603174603174603"/>
                  <c:y val="0.58558558558558549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2"/>
              <c:layout>
                <c:manualLayout>
                  <c:xMode val="edge"/>
                  <c:yMode val="edge"/>
                  <c:x val="0.68412698412698369"/>
                  <c:y val="0.5090090090090090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</c:dLbls>
          <c:cat>
            <c:strRef>
              <c:f>Лист1!$A$1:$A$6</c:f>
              <c:strCache>
                <c:ptCount val="6"/>
                <c:pt idx="0">
                  <c:v>Надходження коштів пайової участі</c:v>
                </c:pt>
                <c:pt idx="1">
                  <c:v>Цільовий фонд</c:v>
                </c:pt>
                <c:pt idx="2">
                  <c:v>Кошти від продажу землі</c:v>
                </c:pt>
                <c:pt idx="3">
                  <c:v>Надходження від  продажу комунального майна </c:v>
                </c:pt>
                <c:pt idx="4">
                  <c:v>Власні надходження бюджетних установ</c:v>
                </c:pt>
                <c:pt idx="5">
                  <c:v>Інші</c:v>
                </c:pt>
              </c:strCache>
            </c:strRef>
          </c:cat>
          <c:val>
            <c:numRef>
              <c:f>Лист1!$B$1:$B$6</c:f>
              <c:numCache>
                <c:formatCode>0.0</c:formatCode>
                <c:ptCount val="6"/>
                <c:pt idx="0">
                  <c:v>3901.5</c:v>
                </c:pt>
                <c:pt idx="1">
                  <c:v>773.2</c:v>
                </c:pt>
                <c:pt idx="2">
                  <c:v>3017.6</c:v>
                </c:pt>
                <c:pt idx="3">
                  <c:v>129</c:v>
                </c:pt>
                <c:pt idx="4">
                  <c:v>3693.8</c:v>
                </c:pt>
                <c:pt idx="5">
                  <c:v>0.4</c:v>
                </c:pt>
              </c:numCache>
            </c:numRef>
          </c:val>
        </c:ser>
        <c:dLbls>
          <c:showVal val="1"/>
          <c:showCatName val="1"/>
          <c:showPercent val="1"/>
          <c:separator>
</c:separator>
        </c:dLbls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     Структура доходів бюджету розвитку 
м. Буча у 1 півріччі 2016 року
</a:t>
            </a:r>
          </a:p>
        </c:rich>
      </c:tx>
      <c:layout>
        <c:manualLayout>
          <c:xMode val="edge"/>
          <c:yMode val="edge"/>
          <c:x val="0.23920265780730912"/>
          <c:y val="0"/>
        </c:manualLayout>
      </c:layout>
      <c:spPr>
        <a:noFill/>
        <a:ln w="25400">
          <a:noFill/>
        </a:ln>
      </c:spPr>
    </c:title>
    <c:view3D>
      <c:rotY val="200"/>
      <c:perspective val="0"/>
    </c:view3D>
    <c:plotArea>
      <c:layout>
        <c:manualLayout>
          <c:layoutTarget val="inner"/>
          <c:xMode val="edge"/>
          <c:yMode val="edge"/>
          <c:x val="0.26245847176079756"/>
          <c:y val="0.2742857142857143"/>
          <c:w val="0.47009966777408663"/>
          <c:h val="0.32000000000000023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8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0995108567914461"/>
                  <c:y val="1.1257759446736226E-3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5.9956395393289792E-2"/>
                  <c:y val="2.1205765945923504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-0.12394911209337568"/>
                  <c:y val="6.1182643836187114E-2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3"/>
              <c:layout>
                <c:manualLayout>
                  <c:xMode val="edge"/>
                  <c:yMode val="edge"/>
                  <c:x val="0.71760797342192695"/>
                  <c:y val="0.13428571428571418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4"/>
              <c:layout>
                <c:manualLayout>
                  <c:xMode val="edge"/>
                  <c:yMode val="edge"/>
                  <c:x val="0.691029900332226"/>
                  <c:y val="0.77714285714285758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5"/>
              <c:layout>
                <c:manualLayout>
                  <c:xMode val="edge"/>
                  <c:yMode val="edge"/>
                  <c:x val="0.34385382059800668"/>
                  <c:y val="0.79714285714285715"/>
                </c:manualLayout>
              </c:layout>
              <c:numFmt formatCode="0.0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6"/>
              <c:layout>
                <c:manualLayout>
                  <c:xMode val="edge"/>
                  <c:yMode val="edge"/>
                  <c:x val="4.3189368770764042E-2"/>
                  <c:y val="0.35428571428571431"/>
                </c:manualLayout>
              </c:layout>
              <c:dLblPos val="bestFit"/>
              <c:showVal val="1"/>
              <c:showCatName val="1"/>
              <c:showPercent val="1"/>
              <c:separator>
</c:separator>
            </c:dLbl>
            <c:dLbl>
              <c:idx val="7"/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8"/>
              <c:layout>
                <c:manualLayout>
                  <c:xMode val="edge"/>
                  <c:yMode val="edge"/>
                  <c:x val="0.70930232558139539"/>
                  <c:y val="0.44571428571428606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9"/>
              <c:layout>
                <c:manualLayout>
                  <c:xMode val="edge"/>
                  <c:yMode val="edge"/>
                  <c:x val="0.70099667774086383"/>
                  <c:y val="0.3257142857142862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0"/>
              <c:layout>
                <c:manualLayout>
                  <c:xMode val="edge"/>
                  <c:yMode val="edge"/>
                  <c:x val="0.70930232558139539"/>
                  <c:y val="0.5657142857142855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1"/>
              <c:layout>
                <c:manualLayout>
                  <c:xMode val="edge"/>
                  <c:yMode val="edge"/>
                  <c:x val="0.691029900332226"/>
                  <c:y val="0.74285714285714288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dLbl>
              <c:idx val="12"/>
              <c:layout>
                <c:manualLayout>
                  <c:xMode val="edge"/>
                  <c:yMode val="edge"/>
                  <c:x val="0.71594684385382112"/>
                  <c:y val="0.64571428571428569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showPercent val="1"/>
              <c:separator>
</c:separator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</c:dLbls>
          <c:cat>
            <c:strRef>
              <c:f>Лист1!$A$1:$A$3</c:f>
              <c:strCache>
                <c:ptCount val="3"/>
                <c:pt idx="0">
                  <c:v>Надходження коштів пайової участі</c:v>
                </c:pt>
                <c:pt idx="1">
                  <c:v>Кошти від продажу землі</c:v>
                </c:pt>
                <c:pt idx="2">
                  <c:v>Надходження від  продажу комунального майна </c:v>
                </c:pt>
              </c:strCache>
            </c:strRef>
          </c:cat>
          <c:val>
            <c:numRef>
              <c:f>Лист1!$B$1:$B$3</c:f>
              <c:numCache>
                <c:formatCode>0.0</c:formatCode>
                <c:ptCount val="3"/>
                <c:pt idx="0">
                  <c:v>3901.5</c:v>
                </c:pt>
                <c:pt idx="1">
                  <c:v>3017.6</c:v>
                </c:pt>
                <c:pt idx="2">
                  <c:v>129</c:v>
                </c:pt>
              </c:numCache>
            </c:numRef>
          </c:val>
        </c:ser>
        <c:dLbls>
          <c:showVal val="1"/>
          <c:showCatName val="1"/>
          <c:showPercent val="1"/>
          <c:separator>
</c:separator>
        </c:dLbls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2016-08-02T07:58:00Z</dcterms:created>
  <dcterms:modified xsi:type="dcterms:W3CDTF">2016-08-03T11:26:00Z</dcterms:modified>
</cp:coreProperties>
</file>