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365E949A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4F6889" w:rsidRPr="004F6889">
        <w:rPr>
          <w:lang w:val="uk-UA"/>
        </w:rPr>
        <w:t>Послуги з технічного обслуговування мереж вуличного освітлення код національного класифікатора України ДК 021:2015 «Єдиний закупівельний словник» 50230000-6 – Послуги з ремонту, технічного обслуговування дорожньої інфраструктури і пов’язаного обладнання та супутні послуги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09F7872B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004032" w:rsidRPr="00004032">
        <w:t>UA-2026-04-27-004009-a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3751B44D" w:rsidR="00D34A01" w:rsidRPr="00004032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004032" w:rsidRPr="00004032">
        <w:rPr>
          <w:bCs/>
          <w:lang w:val="uk-UA"/>
        </w:rPr>
        <w:t>4 846 115,88</w:t>
      </w:r>
      <w:r w:rsidR="00004032" w:rsidRPr="00004032">
        <w:rPr>
          <w:bCs/>
          <w:lang w:val="uk-UA"/>
        </w:rPr>
        <w:t xml:space="preserve"> грн (</w:t>
      </w:r>
      <w:r w:rsidR="00FB3949" w:rsidRPr="00FB3949">
        <w:rPr>
          <w:bCs/>
          <w:lang w:val="uk-UA"/>
        </w:rPr>
        <w:t>чотири мільйони вісімсот сорок шість тисяч сто п'ятнадцять гривень 88 копійок</w:t>
      </w:r>
      <w:r w:rsidR="00FB3949">
        <w:rPr>
          <w:bCs/>
          <w:lang w:val="uk-UA"/>
        </w:rPr>
        <w:t>)</w:t>
      </w:r>
      <w:r w:rsidR="00FB3949" w:rsidRPr="00FB3949">
        <w:rPr>
          <w:bCs/>
          <w:lang w:val="uk-UA"/>
        </w:rPr>
        <w:t>, у т.ч. ПДВ (20%) 807 685.98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7F0150">
        <w:rPr>
          <w:color w:val="000000" w:themeColor="text1"/>
          <w:lang w:val="uk-UA"/>
        </w:rPr>
        <w:t>Цод = (Ц1 +… + Цк)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7101EF">
        <w:rPr>
          <w:color w:val="000000" w:themeColor="text1"/>
          <w:lang w:val="uk-UA"/>
        </w:rPr>
        <w:t>.</w:t>
      </w: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032"/>
    <w:rsid w:val="00004FB8"/>
    <w:rsid w:val="00025BEA"/>
    <w:rsid w:val="00090F14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62682"/>
    <w:rsid w:val="00462FA3"/>
    <w:rsid w:val="00470CD6"/>
    <w:rsid w:val="004E2DFC"/>
    <w:rsid w:val="004F5788"/>
    <w:rsid w:val="004F6889"/>
    <w:rsid w:val="00536693"/>
    <w:rsid w:val="0054264B"/>
    <w:rsid w:val="005435CC"/>
    <w:rsid w:val="00554A1B"/>
    <w:rsid w:val="00580D77"/>
    <w:rsid w:val="005B37D0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B3949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99</cp:revision>
  <cp:lastPrinted>2026-01-09T07:48:00Z</cp:lastPrinted>
  <dcterms:created xsi:type="dcterms:W3CDTF">2023-05-11T07:52:00Z</dcterms:created>
  <dcterms:modified xsi:type="dcterms:W3CDTF">2026-04-27T08:30:00Z</dcterms:modified>
</cp:coreProperties>
</file>