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E919EE" w:rsidRPr="009F2F4C" w:rsidP="00C772AD" w14:paraId="5EC03DCB" w14:textId="77777777">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8240" behindDoc="0" locked="0" layoutInCell="1" allowOverlap="1">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E919EE" w:rsidRPr="004F03FA" w:rsidP="00E919EE"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E919EE" w:rsidRPr="004F03FA" w:rsidP="00E919EE" w14:paraId="02C58158"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004E7142">
        <w:rPr>
          <w:color w:val="000000" w:themeColor="text1"/>
          <w:sz w:val="28"/>
          <w:szCs w:val="28"/>
        </w:rPr>
        <w:t xml:space="preserve">   </w:t>
      </w:r>
      <w:r w:rsidR="004E7142">
        <w:rPr>
          <w:color w:val="000000" w:themeColor="text1"/>
          <w:sz w:val="28"/>
          <w:szCs w:val="28"/>
        </w:rPr>
        <w:drawing>
          <wp:inline>
            <wp:extent cx="557718" cy="63563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57718" cy="635635"/>
                    </a:xfrm>
                    <a:prstGeom prst="rect">
                      <a:avLst/>
                    </a:prstGeom>
                  </pic:spPr>
                </pic:pic>
              </a:graphicData>
            </a:graphic>
          </wp:inline>
        </w:drawing>
      </w:r>
      <w:r w:rsidRPr="009F2F4C" w:rsidR="00B00396">
        <w:rPr>
          <w:color w:val="000000" w:themeColor="text1"/>
          <w:sz w:val="28"/>
          <w:szCs w:val="28"/>
        </w:rPr>
        <w:t xml:space="preserve">                                 </w:t>
      </w:r>
    </w:p>
    <w:p w:rsidR="00E919EE" w:rsidRPr="009F2F4C" w:rsidP="00E919EE" w14:paraId="100F7E8C" w14:textId="77777777">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21004FB9" w14:textId="77777777" w:rsidTr="00C16F8F">
        <w:tblPrEx>
          <w:tblW w:w="0" w:type="auto"/>
          <w:tblLook w:val="04A0"/>
        </w:tblPrEx>
        <w:tc>
          <w:tcPr>
            <w:tcW w:w="9628" w:type="dxa"/>
          </w:tcPr>
          <w:p w:rsidR="00E919EE" w:rsidRPr="009F2F4C" w:rsidP="00C16F8F" w14:paraId="3D76869E" w14:textId="77777777">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P="00C16F8F" w14:paraId="0717395D" w14:textId="77777777">
            <w:pPr>
              <w:rPr>
                <w:color w:val="000000" w:themeColor="text1"/>
              </w:rPr>
            </w:pPr>
            <w:r w:rsidRPr="009F2F4C">
              <w:rPr>
                <w:color w:val="000000" w:themeColor="text1"/>
              </w:rPr>
              <w:t xml:space="preserve">                                                 (ПОЗАЧЕРГОВЕ ЗАСІДАННЯ)</w:t>
            </w:r>
          </w:p>
        </w:tc>
      </w:tr>
    </w:tbl>
    <w:p w:rsidR="00E919EE" w:rsidP="00E919EE" w14:paraId="23FF22C2" w14:textId="58071E60">
      <w:pPr>
        <w:keepNext/>
        <w:tabs>
          <w:tab w:val="left" w:pos="14743"/>
        </w:tabs>
        <w:jc w:val="center"/>
        <w:rPr>
          <w:b/>
          <w:color w:val="000000" w:themeColor="text1"/>
          <w:spacing w:val="80"/>
          <w:sz w:val="28"/>
          <w:szCs w:val="28"/>
        </w:rPr>
      </w:pPr>
      <w:r w:rsidRPr="009F2F4C">
        <w:rPr>
          <w:b/>
          <w:color w:val="000000" w:themeColor="text1"/>
          <w:spacing w:val="80"/>
          <w:sz w:val="28"/>
          <w:szCs w:val="28"/>
        </w:rPr>
        <w:t>РІШЕННЯ</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7F4F4F3B" w14:textId="77777777" w:rsidTr="00DB5048">
        <w:tblPrEx>
          <w:tblW w:w="9498" w:type="dxa"/>
          <w:tblLook w:val="04A0"/>
        </w:tblPrEx>
        <w:tc>
          <w:tcPr>
            <w:tcW w:w="3166" w:type="dxa"/>
            <w:hideMark/>
          </w:tcPr>
          <w:p w:rsidR="00DB5048" w14:paraId="5EF79ADC" w14:textId="77777777">
            <w:pPr>
              <w:rPr>
                <w:color w:val="000000" w:themeColor="text1"/>
                <w:sz w:val="28"/>
                <w:szCs w:val="28"/>
              </w:rPr>
            </w:pPr>
            <w:bookmarkStart w:id="0" w:name="_Hlk191043316"/>
            <w:r>
              <w:rPr>
                <w:bCs/>
                <w:sz w:val="28"/>
                <w:szCs w:val="28"/>
              </w:rPr>
              <w:t xml:space="preserve">07.11.2025 </w:t>
            </w:r>
            <w:bookmarkEnd w:id="0"/>
          </w:p>
        </w:tc>
        <w:tc>
          <w:tcPr>
            <w:tcW w:w="3166" w:type="dxa"/>
          </w:tcPr>
          <w:p w:rsidR="00DB5048" w14:paraId="5BFCC9C1" w14:textId="77777777">
            <w:pPr>
              <w:jc w:val="center"/>
              <w:rPr>
                <w:color w:val="000000" w:themeColor="text1"/>
                <w:sz w:val="28"/>
                <w:szCs w:val="28"/>
              </w:rPr>
            </w:pPr>
          </w:p>
        </w:tc>
        <w:tc>
          <w:tcPr>
            <w:tcW w:w="3166" w:type="dxa"/>
            <w:hideMark/>
          </w:tcPr>
          <w:p w:rsidR="00DB5048" w14:paraId="0BD4D72B" w14:textId="035C051D">
            <w:pPr>
              <w:jc w:val="center"/>
              <w:rPr>
                <w:color w:val="000000" w:themeColor="text1"/>
                <w:sz w:val="28"/>
                <w:szCs w:val="28"/>
              </w:rPr>
            </w:pPr>
            <w:r>
              <w:rPr>
                <w:bCs/>
                <w:color w:val="000000" w:themeColor="text1"/>
                <w:sz w:val="28"/>
                <w:szCs w:val="28"/>
              </w:rPr>
              <w:t xml:space="preserve">              № </w:t>
            </w:r>
            <w:r w:rsidR="00D267D6">
              <w:rPr>
                <w:bCs/>
                <w:color w:val="000000" w:themeColor="text1"/>
                <w:sz w:val="28"/>
                <w:szCs w:val="28"/>
              </w:rPr>
              <w:t>2358</w:t>
            </w:r>
            <w:r>
              <w:rPr>
                <w:bCs/>
                <w:color w:val="000000" w:themeColor="text1"/>
                <w:sz w:val="28"/>
                <w:szCs w:val="28"/>
              </w:rPr>
              <w:t xml:space="preserve">       </w:t>
            </w:r>
          </w:p>
        </w:tc>
      </w:tr>
    </w:tbl>
    <w:p w:rsidR="00DB5048" w:rsidP="00DB5048" w14:paraId="209F76A2" w14:textId="77777777">
      <w:pPr>
        <w:rPr>
          <w:b/>
          <w:bCs/>
          <w:color w:val="000000" w:themeColor="text1"/>
          <w:sz w:val="26"/>
          <w:szCs w:val="26"/>
        </w:rPr>
      </w:pPr>
    </w:p>
    <w:p w:rsidR="00DB5048" w:rsidP="00DB5048" w14:paraId="2096E36B" w14:textId="77777777">
      <w:pPr>
        <w:rPr>
          <w:b/>
          <w:bCs/>
          <w:color w:val="000000" w:themeColor="text1"/>
          <w:sz w:val="22"/>
          <w:szCs w:val="22"/>
        </w:rPr>
      </w:pPr>
      <w:r>
        <w:rPr>
          <w:b/>
          <w:bCs/>
          <w:color w:val="000000" w:themeColor="text1"/>
          <w:sz w:val="22"/>
          <w:szCs w:val="22"/>
        </w:rPr>
        <w:t>Про погодження обґрунтування підстави</w:t>
      </w:r>
    </w:p>
    <w:p w:rsidR="00DB5048" w:rsidP="00DB5048" w14:paraId="579F4D0C" w14:textId="77777777">
      <w:pPr>
        <w:rPr>
          <w:b/>
          <w:bCs/>
          <w:color w:val="000000" w:themeColor="text1"/>
          <w:sz w:val="22"/>
          <w:szCs w:val="22"/>
        </w:rPr>
      </w:pPr>
      <w:r>
        <w:rPr>
          <w:b/>
          <w:bCs/>
          <w:color w:val="000000" w:themeColor="text1"/>
          <w:sz w:val="22"/>
          <w:szCs w:val="22"/>
        </w:rPr>
        <w:t>для здійснення публічної закупівлі</w:t>
      </w:r>
    </w:p>
    <w:p w:rsidR="00DB5048" w:rsidP="00DB5048" w14:paraId="155BA2A6" w14:textId="77777777">
      <w:pPr>
        <w:rPr>
          <w:b/>
          <w:color w:val="000000" w:themeColor="text1"/>
          <w:sz w:val="22"/>
          <w:szCs w:val="22"/>
        </w:rPr>
      </w:pPr>
      <w:r>
        <w:rPr>
          <w:b/>
          <w:bCs/>
          <w:color w:val="000000" w:themeColor="text1"/>
          <w:sz w:val="22"/>
          <w:szCs w:val="22"/>
        </w:rPr>
        <w:t>в Бучанській міській раді</w:t>
      </w:r>
    </w:p>
    <w:p w:rsidR="00DB5048" w:rsidP="00DB5048" w14:paraId="777B733F" w14:textId="77777777">
      <w:pPr>
        <w:rPr>
          <w:color w:val="000000" w:themeColor="text1"/>
          <w:sz w:val="22"/>
          <w:szCs w:val="22"/>
        </w:rPr>
      </w:pPr>
    </w:p>
    <w:p w:rsidR="00DB5048" w:rsidP="00DB5048" w14:paraId="560139E3" w14:textId="77777777">
      <w:pPr>
        <w:pStyle w:val="1"/>
        <w:spacing w:line="288" w:lineRule="auto"/>
        <w:jc w:val="both"/>
        <w:rPr>
          <w:rFonts w:ascii="Times New Roman" w:hAnsi="Times New Roman"/>
          <w:color w:val="000000" w:themeColor="text1"/>
          <w:lang w:val="uk-UA"/>
        </w:rPr>
      </w:pPr>
      <w:r>
        <w:rPr>
          <w:rFonts w:ascii="Times New Roman" w:hAnsi="Times New Roman"/>
          <w:color w:val="000000" w:themeColor="text1"/>
          <w:lang w:val="uk-UA"/>
        </w:rPr>
        <w:t xml:space="preserve">         </w:t>
      </w:r>
      <w:r>
        <w:rPr>
          <w:rFonts w:ascii="Times New Roman" w:hAnsi="Times New Roman"/>
          <w:color w:val="000000" w:themeColor="text1"/>
          <w:shd w:val="clear" w:color="auto" w:fill="FFFFFF"/>
          <w:lang w:val="uk-UA"/>
        </w:rPr>
        <w:t>Відповідно до підпункту 5 пункту 13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r>
        <w:rPr>
          <w:rFonts w:ascii="Times New Roman" w:hAnsi="Times New Roman"/>
          <w:bCs/>
          <w:color w:val="000000" w:themeColor="text1"/>
          <w:lang w:val="uk-UA"/>
        </w:rPr>
        <w:t xml:space="preserve">, </w:t>
      </w:r>
      <w:r>
        <w:rPr>
          <w:rFonts w:ascii="Times New Roman" w:hAnsi="Times New Roman"/>
          <w:bCs/>
          <w:color w:val="000000" w:themeColor="text1"/>
        </w:rPr>
        <w:t>передбачено</w:t>
      </w:r>
      <w:r>
        <w:rPr>
          <w:rFonts w:ascii="Times New Roman" w:hAnsi="Times New Roman"/>
          <w:bCs/>
          <w:color w:val="000000" w:themeColor="text1"/>
          <w:highlight w:val="white"/>
        </w:rPr>
        <w:t xml:space="preserve"> підставу для здійснення закупівлі:</w:t>
      </w:r>
      <w:r>
        <w:rPr>
          <w:rFonts w:ascii="Times New Roman" w:hAnsi="Times New Roman"/>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роботи, товари чи послуги можуть бути виконані, поставлені чи надані виключно певним суб’єктом господарювання у випадку необхідності захисту прав інтелектуальної власності</w:t>
      </w:r>
      <w:r>
        <w:rPr>
          <w:rFonts w:ascii="Times New Roman" w:hAnsi="Times New Roman"/>
          <w:lang w:val="uk-UA"/>
        </w:rPr>
        <w:t xml:space="preserve">, </w:t>
      </w:r>
      <w:r>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Pr>
          <w:rFonts w:ascii="Times New Roman" w:hAnsi="Times New Roman"/>
          <w:color w:val="000000" w:themeColor="text1"/>
          <w:lang w:val="uk-UA"/>
        </w:rPr>
        <w:t xml:space="preserve"> міської ради</w:t>
      </w:r>
    </w:p>
    <w:p w:rsidR="00DB5048" w:rsidP="00DB5048" w14:paraId="08169901" w14:textId="77777777">
      <w:pPr>
        <w:pStyle w:val="1"/>
        <w:spacing w:line="288" w:lineRule="auto"/>
        <w:jc w:val="both"/>
        <w:rPr>
          <w:color w:val="000000" w:themeColor="text1"/>
          <w:lang w:val="uk-UA"/>
        </w:rPr>
      </w:pPr>
    </w:p>
    <w:p w:rsidR="00DB5048" w:rsidP="00DB5048" w14:paraId="65F85F2D" w14:textId="77777777">
      <w:pPr>
        <w:spacing w:line="288" w:lineRule="auto"/>
        <w:jc w:val="both"/>
        <w:rPr>
          <w:b/>
          <w:color w:val="000000" w:themeColor="text1"/>
          <w:sz w:val="22"/>
          <w:szCs w:val="22"/>
        </w:rPr>
      </w:pPr>
      <w:r>
        <w:rPr>
          <w:b/>
          <w:color w:val="000000" w:themeColor="text1"/>
          <w:sz w:val="22"/>
          <w:szCs w:val="22"/>
        </w:rPr>
        <w:t>ВИРІШИВ:</w:t>
      </w:r>
    </w:p>
    <w:p w:rsidR="00DB5048" w:rsidP="00DB5048" w14:paraId="04683ACF" w14:textId="77777777">
      <w:pPr>
        <w:spacing w:line="288" w:lineRule="auto"/>
        <w:jc w:val="both"/>
        <w:rPr>
          <w:b/>
          <w:color w:val="000000" w:themeColor="text1"/>
          <w:sz w:val="22"/>
          <w:szCs w:val="22"/>
        </w:rPr>
      </w:pPr>
    </w:p>
    <w:p w:rsidR="00DB5048" w:rsidP="00DB5048" w14:paraId="2DA4DB89" w14:textId="77777777">
      <w:pPr>
        <w:pStyle w:val="ListParagraph"/>
        <w:numPr>
          <w:ilvl w:val="0"/>
          <w:numId w:val="8"/>
        </w:numPr>
        <w:spacing w:line="288" w:lineRule="auto"/>
        <w:jc w:val="both"/>
        <w:rPr>
          <w:bCs/>
          <w:color w:val="000000" w:themeColor="text1"/>
          <w:sz w:val="22"/>
          <w:szCs w:val="22"/>
        </w:rPr>
      </w:pPr>
      <w:r>
        <w:rPr>
          <w:color w:val="000000" w:themeColor="text1"/>
          <w:sz w:val="22"/>
          <w:szCs w:val="22"/>
        </w:rPr>
        <w:t xml:space="preserve">Погодити головному розпоряднику коштів - Бучанській міській раді, </w:t>
      </w:r>
      <w:r>
        <w:rPr>
          <w:i/>
          <w:color w:val="000000" w:themeColor="text1"/>
          <w:sz w:val="22"/>
          <w:szCs w:val="22"/>
        </w:rPr>
        <w:t>застосування</w:t>
      </w:r>
      <w:r>
        <w:rPr>
          <w:color w:val="000000" w:themeColor="text1"/>
          <w:sz w:val="22"/>
          <w:szCs w:val="22"/>
        </w:rPr>
        <w:t xml:space="preserve"> </w:t>
      </w:r>
      <w:r>
        <w:rPr>
          <w:i/>
          <w:color w:val="000000" w:themeColor="text1"/>
          <w:sz w:val="22"/>
          <w:szCs w:val="22"/>
        </w:rPr>
        <w:t>підстави</w:t>
      </w:r>
      <w:r>
        <w:rPr>
          <w:color w:val="000000" w:themeColor="text1"/>
          <w:sz w:val="22"/>
          <w:szCs w:val="22"/>
        </w:rPr>
        <w:t xml:space="preserve"> для здійснення закупівлі відповідно пункту </w:t>
      </w:r>
      <w:r>
        <w:rPr>
          <w:color w:val="000000" w:themeColor="text1"/>
          <w:sz w:val="22"/>
          <w:szCs w:val="22"/>
          <w:shd w:val="clear" w:color="auto" w:fill="FFFFFF"/>
        </w:rPr>
        <w:t>13 Особливостей та укладання договору</w:t>
      </w:r>
      <w:bookmarkStart w:id="1" w:name="_Hlk190932797"/>
      <w:r>
        <w:rPr>
          <w:color w:val="000000" w:themeColor="text1"/>
          <w:sz w:val="22"/>
          <w:szCs w:val="22"/>
          <w:shd w:val="clear" w:color="auto" w:fill="FFFFFF"/>
        </w:rPr>
        <w:t xml:space="preserve"> відповідно до підпункту 5 пункту 13 Особливостей</w:t>
      </w:r>
      <w:bookmarkStart w:id="2" w:name="_Hlk196466646"/>
      <w:r>
        <w:rPr>
          <w:color w:val="000000" w:themeColor="text1"/>
          <w:sz w:val="22"/>
          <w:szCs w:val="22"/>
          <w:shd w:val="clear" w:color="auto" w:fill="FFFFFF"/>
        </w:rPr>
        <w:t>.</w:t>
      </w:r>
    </w:p>
    <w:bookmarkEnd w:id="1"/>
    <w:bookmarkEnd w:id="2"/>
    <w:p w:rsidR="00DB5048" w:rsidP="00DB5048" w14:paraId="2886E36C" w14:textId="77777777">
      <w:pPr>
        <w:pStyle w:val="ListParagraph"/>
        <w:numPr>
          <w:ilvl w:val="0"/>
          <w:numId w:val="8"/>
        </w:numPr>
        <w:spacing w:line="288" w:lineRule="auto"/>
        <w:jc w:val="both"/>
        <w:rPr>
          <w:bCs/>
          <w:color w:val="000000" w:themeColor="text1"/>
          <w:sz w:val="22"/>
          <w:szCs w:val="22"/>
        </w:rPr>
      </w:pPr>
      <w:r>
        <w:rPr>
          <w:color w:val="000000" w:themeColor="text1"/>
          <w:sz w:val="22"/>
          <w:szCs w:val="22"/>
        </w:rPr>
        <w:t xml:space="preserve">Погодити </w:t>
      </w:r>
      <w:r>
        <w:rPr>
          <w:iCs/>
          <w:color w:val="000000" w:themeColor="text1"/>
          <w:sz w:val="22"/>
          <w:szCs w:val="22"/>
        </w:rPr>
        <w:t xml:space="preserve">обґрунтування </w:t>
      </w:r>
      <w:r>
        <w:rPr>
          <w:color w:val="000000" w:themeColor="text1"/>
          <w:sz w:val="22"/>
          <w:szCs w:val="22"/>
        </w:rPr>
        <w:t>підстави для здійснення головним розпорядником коштів – Бучанською міською радою закупівлі за предметом закупівлі</w:t>
      </w:r>
      <w:r>
        <w:t xml:space="preserve"> </w:t>
      </w:r>
      <w:r>
        <w:rPr>
          <w:color w:val="000000" w:themeColor="text1"/>
          <w:sz w:val="22"/>
          <w:szCs w:val="22"/>
        </w:rPr>
        <w:t>Послуги із стандартного приєднання до електричних мереж ПрАТ «ДТЕК Київські регіональні електромережі» електроустановок об’єкта: Дитячий будинок сімейного типу, Київська обл., Бучанський р-он, м. Буча, кад. №3210800000:01:079:0143. Код 65320000-2 Експлуатація електричних установок за ДК 021:2015 «Єдиний закупівельний словник».</w:t>
      </w:r>
    </w:p>
    <w:p w:rsidR="00DB5048" w:rsidP="00DB5048" w14:paraId="59CF791B" w14:textId="77777777">
      <w:pPr>
        <w:pStyle w:val="ListParagraph"/>
        <w:numPr>
          <w:ilvl w:val="0"/>
          <w:numId w:val="8"/>
        </w:numPr>
        <w:spacing w:line="288" w:lineRule="auto"/>
        <w:jc w:val="both"/>
        <w:rPr>
          <w:color w:val="000000" w:themeColor="text1"/>
          <w:sz w:val="22"/>
          <w:szCs w:val="22"/>
        </w:rPr>
      </w:pPr>
      <w:r>
        <w:rPr>
          <w:color w:val="000000" w:themeColor="text1"/>
          <w:sz w:val="22"/>
          <w:szCs w:val="22"/>
        </w:rPr>
        <w:t xml:space="preserve">Контроль за виконанням даного рішення покласти на заступника Бучанського міського голови, Чейчука Д.М.  </w:t>
      </w:r>
    </w:p>
    <w:p w:rsidR="00DB5048" w:rsidP="00DB5048" w14:paraId="0765D69B" w14:textId="77777777">
      <w:pPr>
        <w:jc w:val="both"/>
        <w:rPr>
          <w:color w:val="000000" w:themeColor="text1"/>
          <w:sz w:val="22"/>
          <w:szCs w:val="22"/>
        </w:rPr>
      </w:pPr>
    </w:p>
    <w:p w:rsidR="00DB5048" w:rsidP="00DB5048" w14:paraId="68E6AAF5" w14:textId="77777777">
      <w:pPr>
        <w:jc w:val="both"/>
        <w:rPr>
          <w:color w:val="000000" w:themeColor="text1"/>
          <w:sz w:val="22"/>
          <w:szCs w:val="22"/>
        </w:rPr>
      </w:pPr>
    </w:p>
    <w:p w:rsidR="00DB5048" w:rsidP="00DB5048" w14:paraId="7439711C" w14:textId="77777777">
      <w:pPr>
        <w:jc w:val="both"/>
        <w:rPr>
          <w:color w:val="000000" w:themeColor="text1"/>
          <w:sz w:val="22"/>
          <w:szCs w:val="22"/>
        </w:rPr>
      </w:pPr>
    </w:p>
    <w:p w:rsidR="00DB5048" w:rsidP="00DB5048" w14:paraId="5AB545E4" w14:textId="77777777">
      <w:pPr>
        <w:jc w:val="both"/>
        <w:rPr>
          <w:color w:val="000000" w:themeColor="text1"/>
          <w:sz w:val="22"/>
          <w:szCs w:val="22"/>
        </w:rPr>
      </w:pPr>
    </w:p>
    <w:p w:rsidR="00DB5048" w:rsidP="00DB5048" w14:paraId="77472C71" w14:textId="77777777">
      <w:pPr>
        <w:pStyle w:val="NormalWeb"/>
        <w:spacing w:before="0" w:beforeAutospacing="0" w:after="0" w:afterAutospacing="0"/>
        <w:rPr>
          <w:b/>
          <w:bCs/>
          <w:color w:val="000000" w:themeColor="text1"/>
          <w:sz w:val="22"/>
          <w:szCs w:val="22"/>
          <w:lang w:val="uk-UA"/>
        </w:rPr>
      </w:pPr>
      <w:r>
        <w:rPr>
          <w:b/>
          <w:bCs/>
          <w:color w:val="000000" w:themeColor="text1"/>
          <w:sz w:val="22"/>
          <w:szCs w:val="22"/>
          <w:lang w:val="uk-UA"/>
        </w:rPr>
        <w:t xml:space="preserve">Міський голова      </w:t>
      </w:r>
      <w:r>
        <w:rPr>
          <w:b/>
          <w:bCs/>
          <w:color w:val="000000" w:themeColor="text1"/>
          <w:sz w:val="22"/>
          <w:szCs w:val="22"/>
        </w:rPr>
        <w:t>                                                         </w:t>
      </w:r>
      <w:r>
        <w:rPr>
          <w:b/>
          <w:bCs/>
          <w:color w:val="000000" w:themeColor="text1"/>
          <w:sz w:val="22"/>
          <w:szCs w:val="22"/>
          <w:lang w:val="uk-UA"/>
        </w:rPr>
        <w:t xml:space="preserve">            </w:t>
      </w:r>
      <w:r>
        <w:rPr>
          <w:b/>
          <w:bCs/>
          <w:color w:val="000000" w:themeColor="text1"/>
          <w:sz w:val="22"/>
          <w:szCs w:val="22"/>
        </w:rPr>
        <w:t>              </w:t>
      </w:r>
      <w:r>
        <w:rPr>
          <w:b/>
          <w:bCs/>
          <w:color w:val="000000" w:themeColor="text1"/>
          <w:sz w:val="22"/>
          <w:szCs w:val="22"/>
          <w:lang w:val="uk-UA"/>
        </w:rPr>
        <w:t>Анатолій ФЕДОРУК</w:t>
      </w:r>
    </w:p>
    <w:p w:rsidR="00DB5048" w:rsidP="00DB5048" w14:paraId="0080EB7B" w14:textId="77777777">
      <w:pPr>
        <w:pStyle w:val="NormalWeb"/>
        <w:spacing w:before="0" w:beforeAutospacing="0" w:after="0" w:afterAutospacing="0"/>
        <w:rPr>
          <w:b/>
          <w:bCs/>
          <w:color w:val="000000" w:themeColor="text1"/>
          <w:lang w:val="uk-UA"/>
        </w:rPr>
      </w:pPr>
    </w:p>
    <w:p w:rsidR="00DB5048" w:rsidP="00DB5048" w14:paraId="6CD68E0B" w14:textId="77777777">
      <w:pPr>
        <w:pStyle w:val="NormalWeb"/>
        <w:spacing w:before="0" w:beforeAutospacing="0" w:after="0" w:afterAutospacing="0"/>
        <w:rPr>
          <w:b/>
          <w:bCs/>
          <w:color w:val="000000" w:themeColor="text1"/>
          <w:lang w:val="uk-UA"/>
        </w:rPr>
      </w:pPr>
    </w:p>
    <w:p w:rsidR="00DB5048" w:rsidP="00DB5048" w14:paraId="7E143D52" w14:textId="77777777">
      <w:pPr>
        <w:pStyle w:val="NormalWeb"/>
        <w:spacing w:before="0" w:beforeAutospacing="0" w:after="0" w:afterAutospacing="0"/>
        <w:rPr>
          <w:b/>
          <w:bCs/>
          <w:color w:val="000000" w:themeColor="text1"/>
          <w:lang w:val="uk-UA"/>
        </w:rPr>
      </w:pPr>
    </w:p>
    <w:p w:rsidR="00DB5048" w:rsidP="00DB5048" w14:paraId="69816BCC" w14:textId="77777777">
      <w:pPr>
        <w:pStyle w:val="NormalWeb"/>
        <w:spacing w:before="0" w:beforeAutospacing="0" w:after="0" w:afterAutospacing="0"/>
        <w:rPr>
          <w:b/>
          <w:bCs/>
          <w:color w:val="000000" w:themeColor="text1"/>
          <w:lang w:val="uk-UA"/>
        </w:rPr>
      </w:pPr>
    </w:p>
    <w:p w:rsidR="00DB5048" w:rsidP="00DB5048" w14:paraId="25115870" w14:textId="77777777">
      <w:pPr>
        <w:pStyle w:val="NormalWeb"/>
        <w:spacing w:before="0" w:beforeAutospacing="0" w:after="0" w:afterAutospacing="0"/>
        <w:rPr>
          <w:b/>
          <w:bCs/>
          <w:color w:val="000000" w:themeColor="text1"/>
          <w:lang w:val="uk-UA"/>
        </w:rPr>
      </w:pPr>
    </w:p>
    <w:p w:rsidR="00DB5048" w:rsidP="00DB5048" w14:paraId="257A86AC" w14:textId="77777777">
      <w:pPr>
        <w:pStyle w:val="NormalWeb"/>
        <w:spacing w:before="0" w:beforeAutospacing="0" w:after="0" w:afterAutospacing="0"/>
        <w:rPr>
          <w:b/>
          <w:bCs/>
          <w:color w:val="000000" w:themeColor="text1"/>
          <w:sz w:val="22"/>
          <w:szCs w:val="22"/>
          <w:lang w:val="uk-UA"/>
        </w:rPr>
      </w:pPr>
    </w:p>
    <w:p w:rsidR="00DB5048" w:rsidP="00DB5048" w14:paraId="688D40FC" w14:textId="77777777">
      <w:pPr>
        <w:widowControl w:val="0"/>
        <w:tabs>
          <w:tab w:val="left" w:pos="7065"/>
        </w:tabs>
        <w:spacing w:line="288" w:lineRule="auto"/>
        <w:rPr>
          <w:color w:val="000000" w:themeColor="text1"/>
          <w:sz w:val="22"/>
          <w:szCs w:val="22"/>
        </w:rPr>
      </w:pPr>
      <w:r>
        <w:rPr>
          <w:color w:val="000000" w:themeColor="text1"/>
          <w:sz w:val="22"/>
          <w:szCs w:val="22"/>
        </w:rPr>
        <w:t>Заступник міського голови                          _____________________             Дмитро ЧЕЙЧУК</w:t>
      </w:r>
    </w:p>
    <w:p w:rsidR="00DB5048" w:rsidP="00DB5048" w14:paraId="0E02EED9" w14:textId="77777777">
      <w:pPr>
        <w:widowControl w:val="0"/>
        <w:tabs>
          <w:tab w:val="left" w:pos="7065"/>
        </w:tabs>
        <w:spacing w:line="288" w:lineRule="auto"/>
        <w:jc w:val="center"/>
        <w:rPr>
          <w:color w:val="000000" w:themeColor="text1"/>
          <w:sz w:val="22"/>
          <w:szCs w:val="22"/>
          <w:u w:val="single"/>
        </w:rPr>
      </w:pPr>
      <w:r>
        <w:rPr>
          <w:bCs/>
          <w:sz w:val="22"/>
          <w:szCs w:val="22"/>
        </w:rPr>
        <w:t>07.11.2025</w:t>
      </w:r>
    </w:p>
    <w:p w:rsidR="00DB5048" w:rsidP="00DB5048" w14:paraId="2191B282"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DB5048" w:rsidP="00DB5048" w14:paraId="6D79D720" w14:textId="4A3AD529">
      <w:pPr>
        <w:widowControl w:val="0"/>
        <w:tabs>
          <w:tab w:val="left" w:pos="7065"/>
        </w:tabs>
        <w:spacing w:line="288" w:lineRule="auto"/>
        <w:rPr>
          <w:color w:val="000000" w:themeColor="text1"/>
          <w:sz w:val="22"/>
          <w:szCs w:val="22"/>
        </w:rPr>
      </w:pPr>
      <w:r>
        <w:rPr>
          <w:color w:val="000000" w:themeColor="text1"/>
          <w:sz w:val="22"/>
          <w:szCs w:val="22"/>
        </w:rPr>
        <w:t>Керуючий справами                                      ____________________              Дмитро ГАПЧЕНКО</w:t>
      </w:r>
    </w:p>
    <w:p w:rsidR="00DB5048" w:rsidP="00DB5048" w14:paraId="763EE5C6" w14:textId="77777777">
      <w:pPr>
        <w:widowControl w:val="0"/>
        <w:tabs>
          <w:tab w:val="left" w:pos="7065"/>
        </w:tabs>
        <w:spacing w:line="288" w:lineRule="auto"/>
        <w:jc w:val="center"/>
        <w:rPr>
          <w:color w:val="000000" w:themeColor="text1"/>
          <w:sz w:val="22"/>
          <w:szCs w:val="22"/>
        </w:rPr>
      </w:pPr>
      <w:bookmarkStart w:id="3" w:name="_Hlk191043368"/>
      <w:r>
        <w:rPr>
          <w:bCs/>
          <w:sz w:val="22"/>
          <w:szCs w:val="22"/>
        </w:rPr>
        <w:t>07.11.2025</w:t>
      </w:r>
    </w:p>
    <w:bookmarkEnd w:id="3"/>
    <w:p w:rsidR="00DB5048" w:rsidP="00DB5048" w14:paraId="6601E692"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DB5048" w:rsidP="00DB5048" w14:paraId="71F762CD" w14:textId="77777777">
      <w:pPr>
        <w:widowControl w:val="0"/>
        <w:tabs>
          <w:tab w:val="left" w:pos="7065"/>
        </w:tabs>
        <w:spacing w:line="288" w:lineRule="auto"/>
        <w:rPr>
          <w:color w:val="000000" w:themeColor="text1"/>
          <w:sz w:val="22"/>
          <w:szCs w:val="22"/>
        </w:rPr>
      </w:pPr>
      <w:r>
        <w:rPr>
          <w:color w:val="000000" w:themeColor="text1"/>
          <w:sz w:val="22"/>
          <w:szCs w:val="22"/>
        </w:rPr>
        <w:t>В.о. начальника управління</w:t>
      </w:r>
    </w:p>
    <w:p w:rsidR="00DB5048" w:rsidP="00DB5048" w14:paraId="3A9644AA" w14:textId="77777777">
      <w:pPr>
        <w:widowControl w:val="0"/>
        <w:tabs>
          <w:tab w:val="left" w:pos="7065"/>
        </w:tabs>
        <w:spacing w:line="288" w:lineRule="auto"/>
        <w:rPr>
          <w:color w:val="000000" w:themeColor="text1"/>
          <w:sz w:val="22"/>
          <w:szCs w:val="22"/>
        </w:rPr>
      </w:pPr>
      <w:r>
        <w:rPr>
          <w:color w:val="000000" w:themeColor="text1"/>
          <w:sz w:val="22"/>
          <w:szCs w:val="22"/>
        </w:rPr>
        <w:t>юридично-кадрової роботи                           ____________________             Юлія ГАЛДЕЦЬКА</w:t>
      </w:r>
    </w:p>
    <w:p w:rsidR="00DB5048" w:rsidP="00DB5048" w14:paraId="31D500B4" w14:textId="77777777">
      <w:pPr>
        <w:widowControl w:val="0"/>
        <w:tabs>
          <w:tab w:val="left" w:pos="7065"/>
        </w:tabs>
        <w:spacing w:line="288" w:lineRule="auto"/>
        <w:jc w:val="center"/>
        <w:rPr>
          <w:color w:val="000000" w:themeColor="text1"/>
          <w:sz w:val="22"/>
          <w:szCs w:val="22"/>
        </w:rPr>
      </w:pPr>
      <w:r>
        <w:rPr>
          <w:color w:val="000000" w:themeColor="text1"/>
          <w:sz w:val="22"/>
          <w:szCs w:val="22"/>
        </w:rPr>
        <w:t xml:space="preserve">     </w:t>
      </w:r>
      <w:r>
        <w:rPr>
          <w:bCs/>
          <w:sz w:val="22"/>
          <w:szCs w:val="22"/>
        </w:rPr>
        <w:t>07.11.2025</w:t>
      </w:r>
      <w:r>
        <w:rPr>
          <w:color w:val="000000" w:themeColor="text1"/>
          <w:sz w:val="22"/>
          <w:szCs w:val="22"/>
        </w:rPr>
        <w:t xml:space="preserve"> </w:t>
      </w:r>
    </w:p>
    <w:p w:rsidR="00DB5048" w:rsidP="00DB5048" w14:paraId="5388D627"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DB5048" w:rsidP="00DB5048" w14:paraId="438C6B10" w14:textId="77777777">
      <w:pPr>
        <w:widowControl w:val="0"/>
        <w:tabs>
          <w:tab w:val="left" w:pos="7065"/>
        </w:tabs>
        <w:spacing w:line="288" w:lineRule="auto"/>
        <w:rPr>
          <w:color w:val="000000" w:themeColor="text1"/>
          <w:sz w:val="22"/>
          <w:szCs w:val="22"/>
        </w:rPr>
      </w:pPr>
      <w:r>
        <w:rPr>
          <w:color w:val="000000" w:themeColor="text1"/>
          <w:sz w:val="22"/>
          <w:szCs w:val="22"/>
        </w:rPr>
        <w:t xml:space="preserve">Начальника відділу закупівель </w:t>
      </w:r>
    </w:p>
    <w:p w:rsidR="00DB5048" w:rsidP="00DB5048" w14:paraId="7CF416EE" w14:textId="721FD4FD">
      <w:pPr>
        <w:widowControl w:val="0"/>
        <w:tabs>
          <w:tab w:val="left" w:pos="7065"/>
        </w:tabs>
        <w:spacing w:line="288" w:lineRule="auto"/>
        <w:rPr>
          <w:color w:val="000000" w:themeColor="text1"/>
          <w:sz w:val="22"/>
          <w:szCs w:val="22"/>
        </w:rPr>
      </w:pPr>
      <w:r>
        <w:rPr>
          <w:color w:val="000000" w:themeColor="text1"/>
          <w:sz w:val="22"/>
          <w:szCs w:val="22"/>
        </w:rPr>
        <w:t xml:space="preserve">та моніторингу цін                                          __________________             </w:t>
      </w:r>
      <w:r w:rsidR="003875E3">
        <w:rPr>
          <w:color w:val="000000" w:themeColor="text1"/>
          <w:sz w:val="22"/>
          <w:szCs w:val="22"/>
        </w:rPr>
        <w:t xml:space="preserve">  </w:t>
      </w:r>
      <w:r>
        <w:rPr>
          <w:color w:val="000000" w:themeColor="text1"/>
          <w:sz w:val="22"/>
          <w:szCs w:val="22"/>
        </w:rPr>
        <w:t>Вікторія ГЕРГЕЛЬ</w:t>
      </w:r>
    </w:p>
    <w:p w:rsidR="00DB5048" w:rsidP="00DB5048" w14:paraId="3B20ABA9" w14:textId="77777777">
      <w:pPr>
        <w:widowControl w:val="0"/>
        <w:tabs>
          <w:tab w:val="left" w:pos="7065"/>
        </w:tabs>
        <w:spacing w:line="288" w:lineRule="auto"/>
        <w:jc w:val="center"/>
        <w:rPr>
          <w:color w:val="000000" w:themeColor="text1"/>
          <w:sz w:val="22"/>
          <w:szCs w:val="22"/>
        </w:rPr>
      </w:pPr>
      <w:r>
        <w:rPr>
          <w:bCs/>
          <w:sz w:val="22"/>
          <w:szCs w:val="22"/>
        </w:rPr>
        <w:t>07.11.2025</w:t>
      </w:r>
    </w:p>
    <w:p w:rsidR="00DB5048" w:rsidP="00DB5048" w14:paraId="6F664E54"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DB5048" w:rsidP="00DB5048" w14:paraId="42D7E7D9" w14:textId="77777777">
      <w:pPr>
        <w:widowControl w:val="0"/>
        <w:tabs>
          <w:tab w:val="left" w:pos="405"/>
          <w:tab w:val="left" w:pos="7065"/>
        </w:tabs>
        <w:spacing w:line="288" w:lineRule="auto"/>
        <w:rPr>
          <w:color w:val="000000" w:themeColor="text1"/>
          <w:sz w:val="22"/>
          <w:szCs w:val="22"/>
        </w:rPr>
      </w:pPr>
    </w:p>
    <w:p w:rsidR="00DB5048" w:rsidP="00DB5048" w14:paraId="6FE64912" w14:textId="77777777">
      <w:pPr>
        <w:tabs>
          <w:tab w:val="left" w:pos="6240"/>
        </w:tabs>
        <w:rPr>
          <w:color w:val="000000" w:themeColor="text1"/>
          <w:sz w:val="22"/>
          <w:szCs w:val="22"/>
        </w:rPr>
      </w:pPr>
    </w:p>
    <w:p w:rsidR="00DB5048" w:rsidP="00DB5048" w14:paraId="708E1E30" w14:textId="77777777">
      <w:pPr>
        <w:tabs>
          <w:tab w:val="left" w:pos="6240"/>
        </w:tabs>
        <w:rPr>
          <w:color w:val="000000" w:themeColor="text1"/>
          <w:sz w:val="26"/>
          <w:szCs w:val="26"/>
        </w:rPr>
      </w:pPr>
    </w:p>
    <w:p w:rsidR="00DB5048" w:rsidP="00DB5048" w14:paraId="172911F3" w14:textId="77777777">
      <w:pPr>
        <w:tabs>
          <w:tab w:val="left" w:pos="6240"/>
        </w:tabs>
        <w:rPr>
          <w:color w:val="000000" w:themeColor="text1"/>
          <w:sz w:val="26"/>
          <w:szCs w:val="26"/>
        </w:rPr>
      </w:pPr>
    </w:p>
    <w:p w:rsidR="00DB5048" w:rsidP="00DB5048" w14:paraId="1DA24A28" w14:textId="77777777">
      <w:pPr>
        <w:tabs>
          <w:tab w:val="left" w:pos="6240"/>
        </w:tabs>
        <w:rPr>
          <w:color w:val="000000" w:themeColor="text1"/>
          <w:sz w:val="26"/>
          <w:szCs w:val="26"/>
        </w:rPr>
      </w:pPr>
    </w:p>
    <w:p w:rsidR="00DB5048" w:rsidP="00DB5048" w14:paraId="7603A0D1" w14:textId="77777777">
      <w:pPr>
        <w:tabs>
          <w:tab w:val="left" w:pos="6240"/>
        </w:tabs>
        <w:rPr>
          <w:color w:val="000000" w:themeColor="text1"/>
          <w:sz w:val="26"/>
          <w:szCs w:val="26"/>
        </w:rPr>
      </w:pPr>
    </w:p>
    <w:p w:rsidR="00DB5048" w:rsidP="00DB5048" w14:paraId="043D6C4A" w14:textId="77777777">
      <w:pPr>
        <w:tabs>
          <w:tab w:val="left" w:pos="6240"/>
        </w:tabs>
        <w:rPr>
          <w:color w:val="000000" w:themeColor="text1"/>
          <w:sz w:val="26"/>
          <w:szCs w:val="26"/>
        </w:rPr>
      </w:pPr>
    </w:p>
    <w:p w:rsidR="00DB5048" w:rsidP="00DB5048" w14:paraId="436FF7D3" w14:textId="77777777">
      <w:pPr>
        <w:tabs>
          <w:tab w:val="left" w:pos="6240"/>
        </w:tabs>
        <w:rPr>
          <w:color w:val="000000" w:themeColor="text1"/>
          <w:sz w:val="26"/>
          <w:szCs w:val="26"/>
        </w:rPr>
      </w:pPr>
    </w:p>
    <w:p w:rsidR="00DB5048" w:rsidP="00DB5048" w14:paraId="3983222F" w14:textId="77777777">
      <w:pPr>
        <w:tabs>
          <w:tab w:val="left" w:pos="6240"/>
        </w:tabs>
        <w:rPr>
          <w:color w:val="000000" w:themeColor="text1"/>
          <w:sz w:val="26"/>
          <w:szCs w:val="26"/>
        </w:rPr>
      </w:pPr>
    </w:p>
    <w:p w:rsidR="00DB5048" w:rsidP="00DB5048" w14:paraId="76C33851" w14:textId="77777777">
      <w:pPr>
        <w:tabs>
          <w:tab w:val="left" w:pos="6240"/>
        </w:tabs>
        <w:rPr>
          <w:color w:val="000000" w:themeColor="text1"/>
          <w:sz w:val="26"/>
          <w:szCs w:val="26"/>
        </w:rPr>
      </w:pPr>
    </w:p>
    <w:p w:rsidR="00DB5048" w:rsidP="00DB5048" w14:paraId="3A547410" w14:textId="77777777">
      <w:pPr>
        <w:tabs>
          <w:tab w:val="left" w:pos="6240"/>
        </w:tabs>
        <w:rPr>
          <w:color w:val="000000" w:themeColor="text1"/>
          <w:sz w:val="26"/>
          <w:szCs w:val="26"/>
        </w:rPr>
      </w:pPr>
    </w:p>
    <w:p w:rsidR="00DB5048" w:rsidP="00DB5048" w14:paraId="54F54E5F" w14:textId="77777777">
      <w:pPr>
        <w:tabs>
          <w:tab w:val="left" w:pos="6240"/>
        </w:tabs>
        <w:rPr>
          <w:color w:val="000000" w:themeColor="text1"/>
          <w:sz w:val="26"/>
          <w:szCs w:val="26"/>
        </w:rPr>
      </w:pPr>
    </w:p>
    <w:p w:rsidR="00DB5048" w:rsidP="00DB5048" w14:paraId="61CC7411" w14:textId="77777777">
      <w:pPr>
        <w:tabs>
          <w:tab w:val="left" w:pos="6240"/>
        </w:tabs>
        <w:rPr>
          <w:color w:val="000000" w:themeColor="text1"/>
          <w:sz w:val="26"/>
          <w:szCs w:val="26"/>
        </w:rPr>
      </w:pPr>
    </w:p>
    <w:p w:rsidR="00DB5048" w:rsidP="00DB5048" w14:paraId="7B8D9D0B" w14:textId="77777777">
      <w:pPr>
        <w:tabs>
          <w:tab w:val="left" w:pos="6240"/>
        </w:tabs>
        <w:rPr>
          <w:color w:val="000000" w:themeColor="text1"/>
          <w:sz w:val="26"/>
          <w:szCs w:val="26"/>
        </w:rPr>
      </w:pPr>
    </w:p>
    <w:p w:rsidR="00DB5048" w:rsidP="00DB5048" w14:paraId="02CEAC48" w14:textId="77777777">
      <w:pPr>
        <w:tabs>
          <w:tab w:val="left" w:pos="6240"/>
        </w:tabs>
        <w:rPr>
          <w:color w:val="000000" w:themeColor="text1"/>
          <w:sz w:val="26"/>
          <w:szCs w:val="26"/>
        </w:rPr>
      </w:pPr>
    </w:p>
    <w:p w:rsidR="00DB5048" w:rsidP="00DB5048" w14:paraId="4DB3EE3E" w14:textId="77777777">
      <w:pPr>
        <w:tabs>
          <w:tab w:val="left" w:pos="6240"/>
        </w:tabs>
        <w:rPr>
          <w:color w:val="000000" w:themeColor="text1"/>
          <w:sz w:val="26"/>
          <w:szCs w:val="26"/>
        </w:rPr>
      </w:pPr>
    </w:p>
    <w:p w:rsidR="00DB5048" w:rsidP="00DB5048" w14:paraId="0AC7A130" w14:textId="77777777">
      <w:pPr>
        <w:tabs>
          <w:tab w:val="left" w:pos="6240"/>
        </w:tabs>
        <w:rPr>
          <w:color w:val="000000" w:themeColor="text1"/>
          <w:sz w:val="26"/>
          <w:szCs w:val="26"/>
        </w:rPr>
      </w:pPr>
    </w:p>
    <w:p w:rsidR="00DB5048" w:rsidP="00DB5048" w14:paraId="277F5EB1" w14:textId="77777777">
      <w:pPr>
        <w:tabs>
          <w:tab w:val="left" w:pos="6240"/>
        </w:tabs>
        <w:rPr>
          <w:color w:val="000000" w:themeColor="text1"/>
          <w:sz w:val="26"/>
          <w:szCs w:val="26"/>
        </w:rPr>
      </w:pPr>
    </w:p>
    <w:p w:rsidR="00DB5048" w:rsidP="00DB5048" w14:paraId="5C60853D" w14:textId="77777777">
      <w:pPr>
        <w:tabs>
          <w:tab w:val="left" w:pos="6240"/>
        </w:tabs>
        <w:rPr>
          <w:color w:val="000000" w:themeColor="text1"/>
          <w:sz w:val="26"/>
          <w:szCs w:val="26"/>
        </w:rPr>
      </w:pPr>
    </w:p>
    <w:p w:rsidR="00DB5048" w:rsidP="00DB5048" w14:paraId="7DE4664C" w14:textId="77777777">
      <w:pPr>
        <w:tabs>
          <w:tab w:val="left" w:pos="6240"/>
        </w:tabs>
        <w:rPr>
          <w:color w:val="000000" w:themeColor="text1"/>
          <w:sz w:val="26"/>
          <w:szCs w:val="26"/>
        </w:rPr>
      </w:pPr>
    </w:p>
    <w:p w:rsidR="00DB5048" w:rsidP="00DB5048" w14:paraId="3E357C74" w14:textId="77777777">
      <w:pPr>
        <w:tabs>
          <w:tab w:val="left" w:pos="6240"/>
        </w:tabs>
        <w:rPr>
          <w:color w:val="000000" w:themeColor="text1"/>
          <w:sz w:val="26"/>
          <w:szCs w:val="26"/>
        </w:rPr>
      </w:pPr>
    </w:p>
    <w:p w:rsidR="00DB5048" w:rsidP="00DB5048" w14:paraId="24F437F2" w14:textId="77777777">
      <w:pPr>
        <w:tabs>
          <w:tab w:val="left" w:pos="6240"/>
        </w:tabs>
        <w:rPr>
          <w:color w:val="000000" w:themeColor="text1"/>
          <w:sz w:val="26"/>
          <w:szCs w:val="26"/>
        </w:rPr>
      </w:pPr>
    </w:p>
    <w:p w:rsidR="00DB5048" w:rsidP="00DB5048" w14:paraId="48131588" w14:textId="77777777">
      <w:pPr>
        <w:tabs>
          <w:tab w:val="left" w:pos="6240"/>
        </w:tabs>
        <w:rPr>
          <w:color w:val="000000" w:themeColor="text1"/>
          <w:sz w:val="26"/>
          <w:szCs w:val="26"/>
        </w:rPr>
      </w:pPr>
    </w:p>
    <w:p w:rsidR="00DB5048" w:rsidP="00DB5048" w14:paraId="1F2DDB59" w14:textId="77777777">
      <w:pPr>
        <w:tabs>
          <w:tab w:val="left" w:pos="6240"/>
        </w:tabs>
        <w:rPr>
          <w:color w:val="000000" w:themeColor="text1"/>
          <w:sz w:val="26"/>
          <w:szCs w:val="26"/>
        </w:rPr>
      </w:pPr>
    </w:p>
    <w:p w:rsidR="00DB5048" w:rsidP="00DB5048" w14:paraId="3D44B01C" w14:textId="77777777">
      <w:pPr>
        <w:tabs>
          <w:tab w:val="left" w:pos="6240"/>
        </w:tabs>
        <w:rPr>
          <w:color w:val="000000" w:themeColor="text1"/>
          <w:sz w:val="26"/>
          <w:szCs w:val="26"/>
        </w:rPr>
      </w:pPr>
    </w:p>
    <w:p w:rsidR="00DB5048" w:rsidP="00DB5048" w14:paraId="0F2506A7" w14:textId="77777777">
      <w:pPr>
        <w:tabs>
          <w:tab w:val="left" w:pos="6240"/>
        </w:tabs>
        <w:rPr>
          <w:color w:val="000000" w:themeColor="text1"/>
          <w:sz w:val="26"/>
          <w:szCs w:val="26"/>
        </w:rPr>
      </w:pPr>
    </w:p>
    <w:p w:rsidR="00DB5048" w:rsidP="00DB5048" w14:paraId="1A7CFE66" w14:textId="77777777">
      <w:pPr>
        <w:tabs>
          <w:tab w:val="left" w:pos="6240"/>
        </w:tabs>
        <w:rPr>
          <w:color w:val="000000" w:themeColor="text1"/>
          <w:sz w:val="26"/>
          <w:szCs w:val="26"/>
        </w:rPr>
      </w:pPr>
    </w:p>
    <w:p w:rsidR="00DB5048" w:rsidP="00DB5048" w14:paraId="48385EB4" w14:textId="77777777">
      <w:pPr>
        <w:tabs>
          <w:tab w:val="left" w:pos="6240"/>
        </w:tabs>
        <w:rPr>
          <w:color w:val="000000" w:themeColor="text1"/>
          <w:sz w:val="26"/>
          <w:szCs w:val="26"/>
        </w:rPr>
      </w:pPr>
    </w:p>
    <w:p w:rsidR="00DB5048" w:rsidP="00DB5048" w14:paraId="3595FC74" w14:textId="77777777">
      <w:pPr>
        <w:tabs>
          <w:tab w:val="left" w:pos="6240"/>
        </w:tabs>
        <w:rPr>
          <w:color w:val="000000" w:themeColor="text1"/>
          <w:sz w:val="26"/>
          <w:szCs w:val="26"/>
        </w:rPr>
      </w:pPr>
    </w:p>
    <w:p w:rsidR="00DB5048" w:rsidP="00DB5048" w14:paraId="5602B88B" w14:textId="77777777">
      <w:pPr>
        <w:tabs>
          <w:tab w:val="left" w:pos="6240"/>
        </w:tabs>
        <w:rPr>
          <w:color w:val="000000" w:themeColor="text1"/>
          <w:sz w:val="26"/>
          <w:szCs w:val="26"/>
        </w:rPr>
      </w:pPr>
    </w:p>
    <w:p w:rsidR="00DB5048" w:rsidP="00DB5048" w14:paraId="416E947F" w14:textId="77777777">
      <w:pPr>
        <w:tabs>
          <w:tab w:val="left" w:pos="6240"/>
        </w:tabs>
        <w:rPr>
          <w:color w:val="000000" w:themeColor="text1"/>
          <w:sz w:val="26"/>
          <w:szCs w:val="26"/>
        </w:rPr>
      </w:pPr>
    </w:p>
    <w:p w:rsidR="00DB5048" w:rsidP="00DB5048" w14:paraId="4A43AA79" w14:textId="77777777">
      <w:pPr>
        <w:tabs>
          <w:tab w:val="left" w:pos="6240"/>
        </w:tabs>
        <w:rPr>
          <w:color w:val="000000" w:themeColor="text1"/>
          <w:sz w:val="26"/>
          <w:szCs w:val="26"/>
        </w:rPr>
      </w:pPr>
    </w:p>
    <w:p w:rsidR="00DB5048" w:rsidP="00DB5048" w14:paraId="20EFB1BC" w14:textId="77777777">
      <w:pPr>
        <w:tabs>
          <w:tab w:val="left" w:pos="6240"/>
        </w:tabs>
        <w:rPr>
          <w:color w:val="000000" w:themeColor="text1"/>
          <w:sz w:val="26"/>
          <w:szCs w:val="26"/>
        </w:rPr>
      </w:pPr>
    </w:p>
    <w:p w:rsidR="00DB5048" w:rsidP="00DB5048" w14:paraId="2682419B" w14:textId="77777777">
      <w:pPr>
        <w:tabs>
          <w:tab w:val="left" w:pos="6240"/>
        </w:tabs>
        <w:rPr>
          <w:color w:val="000000" w:themeColor="text1"/>
          <w:sz w:val="26"/>
          <w:szCs w:val="26"/>
        </w:rPr>
      </w:pPr>
    </w:p>
    <w:p w:rsidR="00DB5048" w:rsidP="00DB5048" w14:paraId="7617667F" w14:textId="77777777">
      <w:pPr>
        <w:tabs>
          <w:tab w:val="left" w:pos="6240"/>
        </w:tabs>
        <w:rPr>
          <w:color w:val="000000" w:themeColor="text1"/>
          <w:sz w:val="26"/>
          <w:szCs w:val="26"/>
        </w:rPr>
      </w:pPr>
      <w:r>
        <w:rPr>
          <w:color w:val="000000" w:themeColor="text1"/>
          <w:sz w:val="26"/>
          <w:szCs w:val="26"/>
        </w:rPr>
        <w:t xml:space="preserve">                                                                                     </w:t>
      </w:r>
    </w:p>
    <w:p w:rsidR="00DB5048" w:rsidP="00DB5048" w14:paraId="6E1B95A5" w14:textId="4789C7A4">
      <w:pPr>
        <w:tabs>
          <w:tab w:val="left" w:pos="6240"/>
        </w:tabs>
        <w:rPr>
          <w:color w:val="000000" w:themeColor="text1"/>
          <w:sz w:val="26"/>
          <w:szCs w:val="26"/>
        </w:rPr>
      </w:pPr>
      <w:r>
        <w:rPr>
          <w:color w:val="000000" w:themeColor="text1"/>
          <w:sz w:val="26"/>
          <w:szCs w:val="26"/>
        </w:rPr>
        <w:t xml:space="preserve">                                                                                     </w:t>
      </w:r>
      <w:r>
        <w:rPr>
          <w:color w:val="000000" w:themeColor="text1"/>
          <w:sz w:val="26"/>
          <w:szCs w:val="26"/>
        </w:rPr>
        <w:t xml:space="preserve">Додаток </w:t>
      </w:r>
    </w:p>
    <w:p w:rsidR="00DB5048" w:rsidP="00DB5048" w14:paraId="3348DFF1" w14:textId="77777777">
      <w:pPr>
        <w:tabs>
          <w:tab w:val="left" w:pos="6240"/>
        </w:tabs>
        <w:jc w:val="center"/>
        <w:rPr>
          <w:color w:val="000000" w:themeColor="text1"/>
          <w:sz w:val="26"/>
          <w:szCs w:val="26"/>
        </w:rPr>
      </w:pPr>
      <w:r>
        <w:rPr>
          <w:color w:val="000000" w:themeColor="text1"/>
          <w:sz w:val="26"/>
          <w:szCs w:val="26"/>
        </w:rPr>
        <w:t xml:space="preserve">                                                                           до рішення виконавчого комітету</w:t>
      </w:r>
    </w:p>
    <w:p w:rsidR="00DB5048" w:rsidP="00DB5048" w14:paraId="0DC3E3EA" w14:textId="77777777">
      <w:pPr>
        <w:tabs>
          <w:tab w:val="left" w:pos="6240"/>
        </w:tabs>
        <w:jc w:val="center"/>
        <w:rPr>
          <w:color w:val="000000" w:themeColor="text1"/>
          <w:sz w:val="26"/>
          <w:szCs w:val="26"/>
        </w:rPr>
      </w:pPr>
      <w:r>
        <w:rPr>
          <w:color w:val="000000" w:themeColor="text1"/>
          <w:sz w:val="26"/>
          <w:szCs w:val="26"/>
        </w:rPr>
        <w:t xml:space="preserve">                                                           Бучанської міської ради</w:t>
      </w:r>
    </w:p>
    <w:p w:rsidR="00DB5048" w:rsidP="00DB5048" w14:paraId="2F0B46CD" w14:textId="50742037">
      <w:pPr>
        <w:tabs>
          <w:tab w:val="left" w:pos="5540"/>
        </w:tabs>
        <w:rPr>
          <w:color w:val="000000" w:themeColor="text1"/>
          <w:sz w:val="26"/>
          <w:szCs w:val="26"/>
        </w:rPr>
      </w:pPr>
      <w:r>
        <w:rPr>
          <w:color w:val="000000" w:themeColor="text1"/>
          <w:sz w:val="26"/>
          <w:szCs w:val="26"/>
        </w:rPr>
        <w:tab/>
      </w:r>
      <w:r>
        <w:rPr>
          <w:b/>
          <w:color w:val="000000"/>
        </w:rPr>
        <w:t xml:space="preserve">№ </w:t>
      </w:r>
      <w:r>
        <w:rPr>
          <w:b/>
          <w:color w:val="000000"/>
        </w:rPr>
        <w:t xml:space="preserve">2358 </w:t>
      </w:r>
      <w:r>
        <w:rPr>
          <w:b/>
          <w:color w:val="000000"/>
        </w:rPr>
        <w:t>від 07.11.2025р</w:t>
      </w:r>
      <w:r>
        <w:rPr>
          <w:color w:val="000000" w:themeColor="text1"/>
          <w:sz w:val="26"/>
          <w:szCs w:val="26"/>
        </w:rPr>
        <w:t xml:space="preserve">                               </w:t>
      </w:r>
    </w:p>
    <w:p w:rsidR="00DB5048" w:rsidP="00DB5048" w14:paraId="5EA7E230" w14:textId="77777777">
      <w:pPr>
        <w:widowControl w:val="0"/>
        <w:tabs>
          <w:tab w:val="left" w:pos="7065"/>
        </w:tabs>
        <w:spacing w:line="288" w:lineRule="auto"/>
        <w:jc w:val="center"/>
        <w:rPr>
          <w:color w:val="000000" w:themeColor="text1"/>
          <w:sz w:val="16"/>
          <w:szCs w:val="16"/>
        </w:rPr>
      </w:pPr>
    </w:p>
    <w:p w:rsidR="00DB5048" w:rsidP="00DB5048" w14:paraId="699D42B9" w14:textId="77777777">
      <w:pPr>
        <w:jc w:val="center"/>
        <w:rPr>
          <w:color w:val="000000"/>
        </w:rPr>
      </w:pPr>
      <w:r>
        <w:rPr>
          <w:b/>
          <w:color w:val="000000"/>
        </w:rPr>
        <w:t>ОБҐРУНТУВАННЯ ПІДСТАВИ</w:t>
      </w:r>
    </w:p>
    <w:p w:rsidR="00DB5048" w:rsidP="00DB5048" w14:paraId="511593A4" w14:textId="77777777">
      <w:pPr>
        <w:jc w:val="center"/>
        <w:rPr>
          <w:color w:val="000000"/>
        </w:rPr>
      </w:pPr>
      <w:r>
        <w:rPr>
          <w:color w:val="000000"/>
        </w:rPr>
        <w:t xml:space="preserve">для здійснення закупівлі </w:t>
      </w:r>
      <w:r>
        <w:rPr>
          <w:b/>
          <w:color w:val="000000"/>
        </w:rPr>
        <w:t>згідно з підпунктом 5 пункту 13 Особливостей</w:t>
      </w:r>
      <w:r>
        <w:rPr>
          <w:color w:val="000000"/>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DB5048" w:rsidP="00DB5048" w14:paraId="43CDCBA7" w14:textId="77777777">
      <w:pPr>
        <w:rPr>
          <w:b/>
          <w:sz w:val="20"/>
          <w:szCs w:val="20"/>
        </w:rPr>
      </w:pPr>
      <w:r>
        <w:rPr>
          <w:b/>
          <w:sz w:val="20"/>
          <w:szCs w:val="20"/>
        </w:rPr>
        <w:t xml:space="preserve"> </w:t>
      </w:r>
    </w:p>
    <w:p w:rsidR="00DB5048" w:rsidP="00DB5048" w14:paraId="490A8DAD" w14:textId="77777777">
      <w:pPr>
        <w:rPr>
          <w:b/>
          <w:sz w:val="20"/>
          <w:szCs w:val="20"/>
        </w:rPr>
      </w:pPr>
    </w:p>
    <w:p w:rsidR="00DB5048" w:rsidP="00DB5048" w14:paraId="34E9EEAE" w14:textId="77777777">
      <w:pPr>
        <w:jc w:val="both"/>
        <w:rPr>
          <w:i/>
        </w:rPr>
      </w:pPr>
      <w:r>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DB5048" w:rsidP="00DB5048" w14:paraId="0D7651F8" w14:textId="77777777">
      <w:pPr>
        <w:spacing w:before="280" w:after="280"/>
        <w:jc w:val="both"/>
        <w:rPr>
          <w:i/>
          <w:color w:val="000000"/>
        </w:rPr>
      </w:pPr>
      <w:r>
        <w:rPr>
          <w:b/>
          <w:color w:val="000000"/>
        </w:rPr>
        <w:t xml:space="preserve">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 </w:t>
      </w:r>
      <w:r>
        <w:rPr>
          <w:bCs/>
          <w:color w:val="000000"/>
        </w:rPr>
        <w:t xml:space="preserve">Послуги із стандартного приєднання до електричних мереж ПрАТ «ДТЕК Київські регіональні електромережі» електроустановок об’єкта: Дитячий будинок сімейного типу, Київська обл., Бучанський р-он, м. Буча, кад. №3210800000:01:079:0143. </w:t>
      </w:r>
      <w:r>
        <w:rPr>
          <w:i/>
          <w:color w:val="000000"/>
        </w:rPr>
        <w:t>Код 65320000-2 Експлуатація електричних установок за ДК 021:2015 «Єдиний закупівельний словник».</w:t>
      </w:r>
    </w:p>
    <w:p w:rsidR="00DB5048" w:rsidP="00DB5048" w14:paraId="0F3358E2" w14:textId="77777777">
      <w:pPr>
        <w:shd w:val="clear" w:color="auto" w:fill="FFFFFF"/>
        <w:tabs>
          <w:tab w:val="left" w:pos="709"/>
        </w:tabs>
        <w:jc w:val="both"/>
        <w:rPr>
          <w:i/>
          <w:color w:val="000000" w:themeColor="text1"/>
        </w:rPr>
      </w:pPr>
      <w:r>
        <w:rPr>
          <w:b/>
        </w:rPr>
        <w:t>Розмір бюджетного призначення:</w:t>
      </w:r>
      <w:r>
        <w:t xml:space="preserve"> </w:t>
      </w:r>
      <w:r>
        <w:rPr>
          <w:i/>
        </w:rPr>
        <w:t> 56 784,00 грн. згідно з рішенням 83</w:t>
      </w:r>
      <w:r>
        <w:rPr>
          <w:i/>
          <w:color w:val="000000" w:themeColor="text1"/>
        </w:rPr>
        <w:t xml:space="preserve"> сесії Бучанської міської ради VШ скликання  від 14.11.2025р. № 6006 – 83 –VШ « Про внесення змін до рішення 68 сесії Бучанської міської ради VШ скликання  від 24.12.2024р. № 6132 – 68 –VШ «Про  місцевий бюджет Бучанської міської  територіальної громади на 2025 рік» (відповідно до Проєкту рішення)</w:t>
      </w:r>
    </w:p>
    <w:p w:rsidR="00DB5048" w:rsidP="00DB5048" w14:paraId="3FE59C03" w14:textId="77777777">
      <w:pPr>
        <w:jc w:val="both"/>
        <w:rPr>
          <w:i/>
        </w:rPr>
      </w:pPr>
      <w:r>
        <w:rPr>
          <w:b/>
        </w:rPr>
        <w:t xml:space="preserve">Підстави для здійснення закупівлі: </w:t>
      </w:r>
      <w:r>
        <w:rPr>
          <w:i/>
        </w:rPr>
        <w:t>відповідно до абзацу 4 підпункту 5 пункту 13 Особливостей у разі, коли</w:t>
      </w:r>
      <w:r>
        <w:rPr>
          <w:b/>
          <w:color w:val="323232"/>
        </w:rPr>
        <w:t xml:space="preserve"> </w:t>
      </w:r>
      <w:r>
        <w:rPr>
          <w:i/>
        </w:rPr>
        <w:t>роботи, товари чи послуги можуть бути виконані, поставлені чи надані виключно певним суб’єктом господарювання, а саме через відсутність конкуренції з технічних причин, яка повинна бути документально підтверджена Замовником  .</w:t>
      </w:r>
    </w:p>
    <w:p w:rsidR="00DB5048" w:rsidP="00DB5048" w14:paraId="669EE49F" w14:textId="77777777">
      <w:pPr>
        <w:tabs>
          <w:tab w:val="left" w:pos="284"/>
        </w:tabs>
        <w:spacing w:before="240" w:line="276" w:lineRule="auto"/>
        <w:jc w:val="both"/>
        <w:rPr>
          <w:i/>
          <w:color w:val="000000"/>
        </w:rPr>
      </w:pPr>
      <w:r>
        <w:rPr>
          <w:b/>
        </w:rPr>
        <w:t>Обґрунтування підстави для здійснення закупівлі</w:t>
      </w:r>
      <w:r>
        <w:rPr>
          <w:b/>
          <w:color w:val="000000"/>
        </w:rPr>
        <w:t>:</w:t>
      </w:r>
      <w:r>
        <w:rPr>
          <w:i/>
          <w:color w:val="000000"/>
        </w:rPr>
        <w:t xml:space="preserve"> </w:t>
      </w:r>
    </w:p>
    <w:p w:rsidR="00DB5048" w:rsidP="00DB5048" w14:paraId="78B5972D" w14:textId="77777777">
      <w:pPr>
        <w:shd w:val="clear" w:color="auto" w:fill="FFFFFF"/>
        <w:ind w:firstLine="709"/>
        <w:jc w:val="both"/>
        <w:rPr>
          <w:color w:val="000000"/>
        </w:rPr>
      </w:pPr>
      <w:r>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DB5048" w:rsidP="00DB5048" w14:paraId="69759D5E" w14:textId="77777777">
      <w:pPr>
        <w:ind w:firstLine="709"/>
        <w:jc w:val="both"/>
        <w:rPr>
          <w:i/>
        </w:rPr>
      </w:pPr>
      <w:r>
        <w:rPr>
          <w:i/>
        </w:rPr>
        <w:t>Указом Президента України від 24.02.2022 № 64 (зі змінами) термін дії воєнного стану встановлено до 03 лютого 2026 року</w:t>
      </w:r>
    </w:p>
    <w:p w:rsidR="00DB5048" w:rsidP="00DB5048" w14:paraId="60232172" w14:textId="77777777">
      <w:pPr>
        <w:shd w:val="clear" w:color="auto" w:fill="FFFFFF"/>
        <w:ind w:firstLine="709"/>
        <w:jc w:val="both"/>
        <w:rPr>
          <w:color w:val="000000"/>
        </w:rPr>
      </w:pPr>
      <w:r>
        <w:rPr>
          <w:color w:val="000000"/>
        </w:rPr>
        <w:t>Статтею 4 Указу № 64 Кабінету Міністрів України постановлено невідкладно:</w:t>
      </w:r>
    </w:p>
    <w:p w:rsidR="00DB5048" w:rsidP="00DB5048" w14:paraId="3EC70DBF" w14:textId="77777777">
      <w:pPr>
        <w:shd w:val="clear" w:color="auto" w:fill="FFFFFF"/>
        <w:ind w:firstLine="709"/>
        <w:jc w:val="both"/>
        <w:rPr>
          <w:color w:val="000000"/>
        </w:rPr>
      </w:pPr>
      <w:r>
        <w:rPr>
          <w:color w:val="000000"/>
        </w:rPr>
        <w:t>1) ввести в дію план запровадження та забезпечення заходів правового режиму воєнного стану в Україні;</w:t>
      </w:r>
    </w:p>
    <w:p w:rsidR="00DB5048" w:rsidP="00DB5048" w14:paraId="75673179" w14:textId="77777777">
      <w:pPr>
        <w:shd w:val="clear" w:color="auto" w:fill="FFFFFF"/>
        <w:ind w:firstLine="709"/>
        <w:jc w:val="both"/>
        <w:rPr>
          <w:color w:val="000000"/>
        </w:rPr>
      </w:pPr>
      <w:r>
        <w:rPr>
          <w:color w:val="000000"/>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DB5048" w:rsidP="00DB5048" w14:paraId="12E1EE0A" w14:textId="77777777">
      <w:pPr>
        <w:shd w:val="clear" w:color="auto" w:fill="FFFFFF"/>
        <w:ind w:firstLine="709"/>
        <w:jc w:val="both"/>
        <w:rPr>
          <w:color w:val="000000"/>
        </w:rPr>
      </w:pPr>
      <w:r>
        <w:rPr>
          <w:color w:val="000000"/>
        </w:rPr>
        <w:t>Стаття 12</w:t>
      </w:r>
      <w:r>
        <w:rPr>
          <w:color w:val="000000"/>
          <w:vertAlign w:val="superscript"/>
        </w:rPr>
        <w:t>1</w:t>
      </w:r>
      <w:r>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DB5048" w:rsidP="00DB5048" w14:paraId="0075AB83" w14:textId="77777777">
      <w:pPr>
        <w:shd w:val="clear" w:color="auto" w:fill="FFFFFF"/>
        <w:ind w:firstLine="709"/>
        <w:jc w:val="both"/>
        <w:rPr>
          <w:color w:val="000000"/>
        </w:rPr>
      </w:pPr>
      <w:r>
        <w:rPr>
          <w:color w:val="000000"/>
        </w:rPr>
        <w:t>1) працює відповідно до Регламенту Кабінету Міністрів України в умовах воєнного стану;</w:t>
      </w:r>
    </w:p>
    <w:p w:rsidR="00DB5048" w:rsidP="00DB5048" w14:paraId="3D4164B5" w14:textId="77777777">
      <w:pPr>
        <w:shd w:val="clear" w:color="auto" w:fill="FFFFFF"/>
        <w:ind w:firstLine="709"/>
        <w:jc w:val="both"/>
        <w:rPr>
          <w:color w:val="000000"/>
        </w:rPr>
      </w:pPr>
      <w:r>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DB5048" w:rsidP="00DB5048" w14:paraId="10C13C5D" w14:textId="77777777">
      <w:pPr>
        <w:shd w:val="clear" w:color="auto" w:fill="FFFFFF"/>
        <w:ind w:firstLine="709"/>
        <w:jc w:val="both"/>
      </w:pPr>
      <w:r>
        <w:t>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DB5048" w:rsidP="00DB5048" w14:paraId="60357B19" w14:textId="77777777">
      <w:pPr>
        <w:shd w:val="clear" w:color="auto" w:fill="FFFFFF"/>
        <w:ind w:firstLine="709"/>
        <w:jc w:val="both"/>
        <w:rPr>
          <w:color w:val="000000"/>
        </w:rPr>
      </w:pPr>
      <w:r>
        <w:rPr>
          <w:color w:val="000000"/>
        </w:rPr>
        <w:t>З метою невідкладного забезпечення заходів правового режиму воєнного стану, до яких, у тому числі, входить здійснення публічних закупівель, частиною 3</w:t>
      </w:r>
      <w:r>
        <w:rPr>
          <w:color w:val="000000"/>
          <w:vertAlign w:val="superscript"/>
        </w:rPr>
        <w:t>7</w:t>
      </w:r>
      <w:r>
        <w:rPr>
          <w:color w:val="000000"/>
        </w:rPr>
        <w:t xml:space="preserve"> розділу Х «Прикінцеві та перехідні положення» Закону України «Про публічні закупівлі» (далі — Закон) встановлено, що на період дії правового режиму воєнного стану в Україні та протягом 90 днів з дня його припинення або скасування </w:t>
      </w:r>
      <w:hyperlink r:id="rId5" w:anchor="n16" w:history="1">
        <w:r>
          <w:rPr>
            <w:rStyle w:val="Hyperlink"/>
            <w:color w:val="000000"/>
          </w:rPr>
          <w:t>особливості здійснення закупівель товарів, робіт і послуг для замовників, передбачених цим Законом</w:t>
        </w:r>
      </w:hyperlink>
      <w:r>
        <w:rPr>
          <w:color w:val="000000"/>
        </w:rPr>
        <w:t xml:space="preserve">, визначаються Кабінетом Міністрів України із забезпеченням захищеності таких замовників від воєнних загроз. </w:t>
      </w:r>
    </w:p>
    <w:p w:rsidR="00DB5048" w:rsidP="00DB5048" w14:paraId="7EC05A93" w14:textId="77777777">
      <w:pPr>
        <w:shd w:val="clear" w:color="auto" w:fill="FFFFFF"/>
        <w:ind w:firstLine="709"/>
        <w:jc w:val="both"/>
        <w:rPr>
          <w:b/>
          <w:color w:val="000000"/>
        </w:rPr>
      </w:pPr>
      <w:r>
        <w:rPr>
          <w:color w:val="000000"/>
        </w:rPr>
        <w:t xml:space="preserve">На виконання цієї норми Закону урядом були прийняті </w:t>
      </w:r>
      <w:r>
        <w:rPr>
          <w:b/>
          <w:i/>
          <w:color w:val="000000"/>
        </w:rPr>
        <w:t>Особливості</w:t>
      </w:r>
      <w:r>
        <w:rPr>
          <w:b/>
          <w:color w:val="000000"/>
        </w:rPr>
        <w:t>.</w:t>
      </w:r>
    </w:p>
    <w:p w:rsidR="00DB5048" w:rsidP="00DB5048" w14:paraId="345FBA35" w14:textId="77777777">
      <w:pPr>
        <w:ind w:firstLine="709"/>
        <w:jc w:val="both"/>
      </w:pPr>
      <w:r>
        <w:t xml:space="preserve">Положеннями </w:t>
      </w:r>
      <w:r>
        <w:rPr>
          <w:b/>
          <w:i/>
        </w:rPr>
        <w:t>Особливостей</w:t>
      </w:r>
      <w:r>
        <w:t xml:space="preserve"> передбачено </w:t>
      </w:r>
      <w:r>
        <w:rPr>
          <w:color w:val="000000"/>
        </w:rPr>
        <w:t xml:space="preserve">підставу для здійснення закупівлі за </w:t>
      </w:r>
      <w:r>
        <w:rPr>
          <w:b/>
          <w:color w:val="000000"/>
        </w:rPr>
        <w:t>підпунктом 5 пункту 13:</w:t>
      </w:r>
      <w: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Pr>
          <w:i/>
        </w:rPr>
        <w:t>роботи, товари чи послуги можуть бути виконані, поставлені чи надані виключно певним суб’єктом господарювання у випадку необхідності захисту прав інтелектуальної власності.</w:t>
      </w:r>
      <w:r>
        <w:t xml:space="preserve"> </w:t>
      </w:r>
    </w:p>
    <w:p w:rsidR="00DB5048" w:rsidP="00DB5048" w14:paraId="57774005" w14:textId="77777777">
      <w:pPr>
        <w:rPr>
          <w:i/>
          <w:sz w:val="20"/>
          <w:szCs w:val="20"/>
        </w:rPr>
      </w:pPr>
    </w:p>
    <w:p w:rsidR="00DB5048" w:rsidP="00DB5048" w14:paraId="14DFE592" w14:textId="77777777">
      <w:pPr>
        <w:ind w:firstLine="709"/>
        <w:jc w:val="both"/>
      </w:pPr>
      <w:r>
        <w:t>Обсяг закупівлі визначається на підставі річного планування, а також з урахуванням потреби замовника на період 2025 року.</w:t>
      </w:r>
    </w:p>
    <w:p w:rsidR="00DB5048" w:rsidP="00DB5048" w14:paraId="6C76DF23" w14:textId="77777777">
      <w:pPr>
        <w:ind w:firstLine="708"/>
        <w:jc w:val="both"/>
      </w:pPr>
      <w:r>
        <w:t>Відповідно до плану роботи існує потреба в здійсненні закупівлі.</w:t>
      </w:r>
    </w:p>
    <w:p w:rsidR="00DB5048" w:rsidP="00DB5048" w14:paraId="275B3E66" w14:textId="77777777">
      <w:pPr>
        <w:pStyle w:val="ListParagraph"/>
        <w:widowControl w:val="0"/>
        <w:numPr>
          <w:ilvl w:val="0"/>
          <w:numId w:val="9"/>
        </w:numPr>
        <w:shd w:val="clear" w:color="auto" w:fill="FFFFFF"/>
        <w:tabs>
          <w:tab w:val="left" w:pos="284"/>
          <w:tab w:val="left" w:pos="993"/>
        </w:tabs>
        <w:suppressAutoHyphens/>
        <w:autoSpaceDE w:val="0"/>
        <w:spacing w:before="60" w:after="60"/>
        <w:ind w:left="0" w:firstLine="709"/>
        <w:jc w:val="both"/>
        <w:rPr>
          <w:b/>
          <w:bCs/>
          <w:color w:val="000000"/>
        </w:rPr>
      </w:pPr>
      <w:r>
        <w:rPr>
          <w:b/>
          <w:bCs/>
          <w:color w:val="000000"/>
        </w:rPr>
        <w:t>Причини та обставини, якими керувався Замовник під час прийняття рішен</w:t>
      </w:r>
      <w:r>
        <w:rPr>
          <w:b/>
          <w:bCs/>
          <w:color w:val="000000"/>
        </w:rPr>
        <w:softHyphen/>
        <w:t xml:space="preserve">ня щодо укладення договору про закупівлю.  </w:t>
      </w:r>
    </w:p>
    <w:p w:rsidR="00DB5048" w:rsidP="00DB5048" w14:paraId="72758C1E" w14:textId="77777777">
      <w:pPr>
        <w:pStyle w:val="NormalWeb"/>
        <w:widowControl w:val="0"/>
        <w:ind w:firstLine="709"/>
        <w:jc w:val="both"/>
      </w:pPr>
      <w:bookmarkStart w:id="4" w:name="_Ref448238127"/>
      <w:r>
        <w:t>Відповідно до положень Закону України «Про ринок електричної енергії»:</w:t>
      </w:r>
    </w:p>
    <w:p w:rsidR="00DB5048" w:rsidP="00DB5048" w14:paraId="228D5C87" w14:textId="77777777">
      <w:pPr>
        <w:pStyle w:val="NormalWeb"/>
        <w:widowControl w:val="0"/>
        <w:numPr>
          <w:ilvl w:val="0"/>
          <w:numId w:val="10"/>
        </w:numPr>
        <w:ind w:left="0" w:firstLine="709"/>
        <w:jc w:val="both"/>
      </w:pPr>
      <w:r>
        <w:t>пункту 56 статті 1 розділу 1 – оператор системи розподілу – юридична особа, відповідальна за безпечну, надійну та ефективну експлуатацію, технічне обслуговування та розвиток системи розподілу зі забезпечення довгострокової спроможності системи розподілу щодо задоволення обгрунтованого попиту на розподіл електричної енергії з урахуванням вимог щодо охорони навколишнього природного середовища та забезпечення енергоефективності;</w:t>
      </w:r>
    </w:p>
    <w:p w:rsidR="00DB5048" w:rsidP="00DB5048" w14:paraId="242363D0" w14:textId="77777777">
      <w:pPr>
        <w:pStyle w:val="NormalWeb"/>
        <w:widowControl w:val="0"/>
        <w:numPr>
          <w:ilvl w:val="0"/>
          <w:numId w:val="10"/>
        </w:numPr>
        <w:ind w:left="0" w:firstLine="709"/>
        <w:jc w:val="both"/>
      </w:pPr>
      <w:r>
        <w:t>підпункту 3 пункту 1 статті 46 розділу 4 – Функції, права та обов’язки оператора системи розподілу «Оператор системи розподілу: надає послуги з приєднання до системи розподілу відповідно до кодексу систему розподілу»;</w:t>
      </w:r>
    </w:p>
    <w:p w:rsidR="00DB5048" w:rsidP="00DB5048" w14:paraId="7CB8E1F3" w14:textId="77777777">
      <w:pPr>
        <w:pStyle w:val="NormalWeb"/>
        <w:widowControl w:val="0"/>
        <w:numPr>
          <w:ilvl w:val="0"/>
          <w:numId w:val="10"/>
        </w:numPr>
        <w:ind w:left="0" w:firstLine="709"/>
        <w:jc w:val="both"/>
      </w:pPr>
      <w:r>
        <w:t>пункту 3 статті 21 розділу 3 – послуга з приєднання електроустановок Замовника до системи передачі і системи розподілу є платною послугою та надається оператором системи передачі або оператором системи розподілу відповідно до договору приєднання.</w:t>
      </w:r>
    </w:p>
    <w:p w:rsidR="00DB5048" w:rsidP="00DB5048" w14:paraId="5BC11ABE" w14:textId="77777777">
      <w:pPr>
        <w:pStyle w:val="NormalWeb"/>
        <w:widowControl w:val="0"/>
        <w:ind w:firstLine="709"/>
        <w:jc w:val="both"/>
      </w:pPr>
      <w:r>
        <w:t xml:space="preserve">Порядок приєднання до електричних мереж оператора системи передачі та операторів системи розподілу і має бути прозорим, забезпечувати ефективне та недискримінаційне приєднання до системи передачі та системи розподілу. Кодекс визначає вимоги та правила, які регулюються взаємовідносини оператора систем розподілу, Користувачів системи розподілу та замовників послуги з приєднання щодо оперативного та технологічного управління системою розподілу, її розвитку та експлуатації, забезпечення доступу та приєднання електроустановок. Розділ 4 Кодексу систем розподілу визначає порядок приєднання до систем розподілу, зокрема пункт 4.1.9. Послуга з приєднання електроустановок замовника до системи розподілу є платною і надається ОСР відповідно до умов договору при приєднання; пункт 4.1.10. Якщо в межах території, на якій розташовані електроустановки або передбачається будівництво нових електроустановок замовника здійснюють свою діяльність декілька ОСР, замовник може обрати будь-якого ОСР для отримання послуги з приєднання. </w:t>
      </w:r>
    </w:p>
    <w:p w:rsidR="00DB5048" w:rsidP="00DB5048" w14:paraId="1A2BC16B" w14:textId="77777777">
      <w:pPr>
        <w:pStyle w:val="NormalWeb"/>
        <w:widowControl w:val="0"/>
        <w:ind w:firstLine="709"/>
        <w:jc w:val="both"/>
      </w:pPr>
      <w:r>
        <w:t>Пунктом 72 статті 1 Закону України «Про ринок електричної енергії» визначено регулятор – Національна комісія, що здійснює державне регулювання у сферах енергетики та комунальних послуг. До повноважень Регулятора на ринку електричної енергії належить ліцензування господарської діяльності у сфері електроенергетики відповідно до вимог цього Закону та контроль за додержанням ліцензійних умов провадження господарської діяльності.</w:t>
      </w:r>
    </w:p>
    <w:p w:rsidR="00DB5048" w:rsidP="00DB5048" w14:paraId="1BA7E9E9" w14:textId="77777777">
      <w:pPr>
        <w:pStyle w:val="NormalWeb"/>
        <w:widowControl w:val="0"/>
        <w:ind w:firstLine="709"/>
        <w:jc w:val="both"/>
      </w:pPr>
      <w:r>
        <w:t>Відповідно до Постанови НКРЕКП від 27.12.2017 року  № 1470 «Про затвердження ліцензійних умов провадження господарської діяльності з розподілу електричної енергії» пункту 2 «Вимоги до провадження ліцензіатором господарської діяльності з розподілу електричної енергії» підпункту 2.2. при провадженні ліцензованої діяльності ліцензіат повинен дотримуватись таких організаційних вимог: 26) надавати послуги з приєднання електроустановки замовника до системи розподілу електричної енергії з урахуванням положень статті 21 Закону України «Про ринок електричної енергії» за умови дотримання замовником вимог кодексу систем розподілу та кодексу системи передачі. Розраховувати плату за приєднання до електричних мереж оператора системи розподілу на підставі методики (порядку) формування плати за приєднання до системи передачі та системи розподілу, затвердженої НКРЕКП.</w:t>
      </w:r>
    </w:p>
    <w:p w:rsidR="00DB5048" w:rsidP="00DB5048" w14:paraId="13C5406D" w14:textId="77777777">
      <w:pPr>
        <w:pStyle w:val="NormalWeb"/>
        <w:widowControl w:val="0"/>
        <w:ind w:firstLine="709"/>
        <w:jc w:val="both"/>
      </w:pPr>
      <w:r>
        <w:t>Виходячи з вищевикладеного, роботи з нестандартного приєднання до електричних мереж системи розподілу з проєктуванням лінійної частини приєднання замовником надається виключно оператором системи розподілу.</w:t>
      </w:r>
    </w:p>
    <w:p w:rsidR="00DB5048" w:rsidP="00DB5048" w14:paraId="11455298" w14:textId="77777777">
      <w:pPr>
        <w:pStyle w:val="NormalWeb"/>
        <w:widowControl w:val="0"/>
        <w:ind w:firstLine="709"/>
        <w:jc w:val="both"/>
      </w:pPr>
      <w:r>
        <w:t>Відповідно до Постанови НКРЕКП від 08.11.2018 № 1382 «Про видачу ліцензії з розподілу електричної енергії та анулювання ліцензій з передачі електричної енергії місцевими (локальними) електричними мережами і постачання електричної енергії за регульованим тарифом» (зі змінами) ПрАТ «ДТЕК КИЇВСЬКІ РЕГІОНЛЬНІ МЕРЕЖІ» (код ЄДРПОУ 23243188)  отримало ліцензію на право провадження господарської діялшьносмті з розподілу електричної енергії в межах місць провадження господарської діяльності, а саме на терирорії Київської області в межах розташування системи розподілу електричної енергії, що перебуває у власності або господарському віданні (щодо державного або комунального майна) ПрАТ «ДТЕК КИЇВСЬКІ РЕГІОНЛЬНІ МЕРЕЖІ» та електричних мереж інших власників, які пртєднані до мереж ліцензіата (з якими укладені відповідні договори згідно із законодавством) оприлюдненого на офіційному сайті НКРЕКП https://www.nerc.gov.ua/reyestri-nkrekp/reyestri-subyektiv-prirodnih-monopolij-nkrekp/reyestr-subyektiv-prirodnih-monopolij-yaki-provadyat-gospodarsku-diyalnist-u-sferi-energetiki ПрАТ «ДТЕК КИЇВСЬКІ РЕГІОНЛЬНІ МЕРЕЖІ» входить до реєстру природних монополій, які проводять господарську господарську діяльність в сфері енергетики.</w:t>
      </w:r>
    </w:p>
    <w:bookmarkEnd w:id="4"/>
    <w:p w:rsidR="00DB5048" w:rsidP="00DB5048" w14:paraId="2B7E3F27" w14:textId="77777777">
      <w:pPr>
        <w:pStyle w:val="tbl-cod"/>
        <w:spacing w:before="60" w:beforeAutospacing="0" w:after="60" w:afterAutospacing="0"/>
        <w:ind w:firstLine="709"/>
        <w:jc w:val="both"/>
        <w:rPr>
          <w:b/>
        </w:rPr>
      </w:pPr>
      <w:r>
        <w:rPr>
          <w:b/>
        </w:rPr>
        <w:t>Загальні висновки:</w:t>
      </w:r>
    </w:p>
    <w:p w:rsidR="00DB5048" w:rsidP="00DB5048" w14:paraId="25497BE8" w14:textId="77777777">
      <w:pPr>
        <w:spacing w:before="60" w:after="60"/>
        <w:ind w:firstLine="709"/>
        <w:jc w:val="both"/>
      </w:pPr>
      <w:r>
        <w:rPr>
          <w:bCs/>
        </w:rPr>
        <w:t xml:space="preserve">Враховуючи викладене вище, нестандартне приєднання до електричних мереж системи розподілу з проєктуванням лінійної частини приєднання замовником за нашим місцезнаходженням можуть бути надані лише певним виконавцем, а саме </w:t>
      </w:r>
      <w:r>
        <w:t>ПрАТ «ДТЕК КИЇВСЬКІ РЕГІОНЛЬНІ МЕРЕЖІ» тому договір про закупівлю може бути укладено виключно з ПрАТ «ДТЕК КИЇВСЬКІ РЕГІОНЛЬНІ МЕРЕЖІ».</w:t>
      </w:r>
    </w:p>
    <w:p w:rsidR="00DB5048" w:rsidP="00DB5048" w14:paraId="0F234ABA" w14:textId="77777777">
      <w:pPr>
        <w:shd w:val="clear" w:color="auto" w:fill="FFFFFF"/>
        <w:ind w:firstLine="709"/>
        <w:jc w:val="both"/>
      </w:pPr>
      <w:r>
        <w:rPr>
          <w:color w:val="000000"/>
          <w:highlight w:val="white"/>
        </w:rPr>
        <w:t>З огляду на викладене, рішення щодо проведення закупівлі відповідає чинному законодавству</w:t>
      </w:r>
      <w:r>
        <w:rPr>
          <w:color w:val="000000"/>
        </w:rPr>
        <w:t xml:space="preserve"> та наявні підстави для укладання договору без застосування відкритих торгів та/або електронного каталогу для закупівлі товару. </w:t>
      </w:r>
      <w:r>
        <w:rPr>
          <w:color w:val="000000"/>
          <w:highlight w:val="white"/>
        </w:rPr>
        <w:t>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3</w:t>
      </w:r>
      <w:r>
        <w:rPr>
          <w:color w:val="000000"/>
          <w:highlight w:val="white"/>
          <w:vertAlign w:val="superscript"/>
        </w:rPr>
        <w:t>8</w:t>
      </w:r>
      <w:r>
        <w:rPr>
          <w:color w:val="000000"/>
          <w:highlight w:val="white"/>
        </w:rPr>
        <w:t xml:space="preserve"> розділу Х «Прикінцеві та перехідні положення» Закону.</w:t>
      </w:r>
    </w:p>
    <w:p w:rsidR="00DB5048" w:rsidP="00DB5048" w14:paraId="57F67412" w14:textId="77777777">
      <w:pPr>
        <w:ind w:firstLine="709"/>
        <w:jc w:val="both"/>
      </w:pPr>
      <w:r>
        <w:rPr>
          <w:color w:val="000000"/>
        </w:rPr>
        <w:t xml:space="preserve">Разом із звітом про договір про закупівлю, укладений без використання електронної системи закупівель, замовник оприлюднює в електронній системі закупівель договір про закупівлю та додатки до нього, а також обґрунтування підстави для здійснення замовником </w:t>
      </w:r>
      <w:r>
        <w:rPr>
          <w:color w:val="000000"/>
        </w:rPr>
        <w:t xml:space="preserve">закупівлі відповідно до </w:t>
      </w:r>
      <w:r>
        <w:rPr>
          <w:b/>
          <w:color w:val="000000"/>
        </w:rPr>
        <w:t>пункту 13 Особливостей</w:t>
      </w:r>
      <w:r>
        <w:rPr>
          <w:color w:val="000000"/>
        </w:rPr>
        <w:t xml:space="preserve"> </w:t>
      </w:r>
      <w:r>
        <w:t>у вигляді цього файлу «Обґрунтування підстави».</w:t>
      </w:r>
    </w:p>
    <w:p w:rsidR="00DB5048" w:rsidP="00DB5048" w14:paraId="24CFC0B7" w14:textId="77777777">
      <w:pPr>
        <w:ind w:firstLine="709"/>
        <w:jc w:val="both"/>
        <w:rPr>
          <w:b/>
          <w:color w:val="000000"/>
        </w:rPr>
      </w:pPr>
      <w:r>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DB5048" w:rsidP="00DB5048" w14:paraId="5120EEB7" w14:textId="77777777">
      <w:pPr>
        <w:pStyle w:val="ListParagraph"/>
        <w:numPr>
          <w:ilvl w:val="0"/>
          <w:numId w:val="11"/>
        </w:numPr>
        <w:jc w:val="both"/>
      </w:pPr>
      <w:r>
        <w:t xml:space="preserve">Закон України «Про ринок елекетричної енергії» </w:t>
      </w:r>
      <w:hyperlink r:id="rId6" w:anchor="Text" w:history="1">
        <w:r>
          <w:rPr>
            <w:rStyle w:val="Hyperlink"/>
          </w:rPr>
          <w:t>https://zakon.rada.gov.ua/laws/show/2019-19#Text</w:t>
        </w:r>
      </w:hyperlink>
      <w:r>
        <w:t xml:space="preserve"> ;</w:t>
      </w:r>
    </w:p>
    <w:p w:rsidR="00DB5048" w:rsidP="00DB5048" w14:paraId="7772D232" w14:textId="77777777">
      <w:pPr>
        <w:pStyle w:val="ListParagraph"/>
        <w:numPr>
          <w:ilvl w:val="0"/>
          <w:numId w:val="11"/>
        </w:numPr>
        <w:jc w:val="both"/>
      </w:pPr>
      <w:r>
        <w:t xml:space="preserve">Про затвердження системи Кодексу системи розподілу. </w:t>
      </w:r>
      <w:hyperlink r:id="rId7" w:anchor="Text" w:history="1">
        <w:r>
          <w:rPr>
            <w:rStyle w:val="Hyperlink"/>
          </w:rPr>
          <w:t>https://zakon.rada.gov.ua/laws/show/v0310874-18#Text</w:t>
        </w:r>
      </w:hyperlink>
      <w:r>
        <w:t xml:space="preserve"> ;</w:t>
      </w:r>
    </w:p>
    <w:p w:rsidR="00DB5048" w:rsidP="00DB5048" w14:paraId="0AF6C1B4" w14:textId="77777777">
      <w:pPr>
        <w:pStyle w:val="ListParagraph"/>
        <w:numPr>
          <w:ilvl w:val="0"/>
          <w:numId w:val="11"/>
        </w:numPr>
        <w:jc w:val="both"/>
      </w:pPr>
      <w:r>
        <w:t xml:space="preserve">Закон України «Про природні монополії» </w:t>
      </w:r>
      <w:hyperlink r:id="rId8" w:anchor="Text" w:history="1">
        <w:r>
          <w:rPr>
            <w:rStyle w:val="Hyperlink"/>
          </w:rPr>
          <w:t>https://zakon.rada.gov.ua/laws/show/1682-14#Text</w:t>
        </w:r>
      </w:hyperlink>
      <w:r>
        <w:t xml:space="preserve"> ;</w:t>
      </w:r>
    </w:p>
    <w:p w:rsidR="00DB5048" w:rsidP="00DB5048" w14:paraId="3771BB7B" w14:textId="77777777">
      <w:pPr>
        <w:pStyle w:val="ListParagraph"/>
        <w:numPr>
          <w:ilvl w:val="0"/>
          <w:numId w:val="11"/>
        </w:numPr>
        <w:jc w:val="both"/>
      </w:pPr>
      <w:r>
        <w:t xml:space="preserve">Реєстр природних монополій НКРЕКП </w:t>
      </w:r>
      <w:hyperlink r:id="rId9" w:history="1">
        <w:r>
          <w:rPr>
            <w:rStyle w:val="Hyperlink"/>
          </w:rPr>
          <w:t>https://www.nerc.gov.ua/reyestri-nkrekp/reyestri-subyektiv-prirodnih-monopolij-nkrekp</w:t>
        </w:r>
      </w:hyperlink>
      <w:r>
        <w:t xml:space="preserve"> ;</w:t>
      </w:r>
    </w:p>
    <w:p w:rsidR="00DB5048" w:rsidP="00DB5048" w14:paraId="21323427" w14:textId="77777777">
      <w:pPr>
        <w:pStyle w:val="ListParagraph"/>
        <w:numPr>
          <w:ilvl w:val="0"/>
          <w:numId w:val="11"/>
        </w:numPr>
        <w:jc w:val="both"/>
      </w:pPr>
      <w:r>
        <w:t>Постанова НКРЕКП від 08.11.2018р. № 1382 «Про видачу ліцензії з розподілу електричної енергії та анулювання ліцензій з передачі електричної енергії місцевими (локальними) електричними мережами і постачання електричної енергії за регульованим тарифом» https://www.erc.gov.ua/acts/pro-vidachu-prat-kiivoblenergo-litsenzii-z-rozpodilu-elektrichnoi-energii-ta-anulyuvannya-litsenziy-z-peredachi-elektrichnoi-energii-mistsevimi-lokalnimi-elektrichnimi-merezhami-616da7b3d483e .</w:t>
      </w:r>
    </w:p>
    <w:p w:rsidR="00DB5048" w:rsidP="00DB5048" w14:paraId="1E07872C" w14:textId="77777777">
      <w:pPr>
        <w:ind w:left="4962"/>
        <w:rPr>
          <w:i/>
          <w:color w:val="000000" w:themeColor="text1"/>
        </w:rPr>
      </w:pPr>
    </w:p>
    <w:p w:rsidR="00DB5048" w:rsidP="00DB5048" w14:paraId="21D97602" w14:textId="77777777">
      <w:pPr>
        <w:rPr>
          <w:b/>
          <w:color w:val="000000" w:themeColor="text1"/>
          <w:sz w:val="20"/>
          <w:szCs w:val="20"/>
        </w:rPr>
      </w:pPr>
    </w:p>
    <w:p w:rsidR="00DB5048" w:rsidP="00DB5048" w14:paraId="2E90E818" w14:textId="77777777">
      <w:pPr>
        <w:rPr>
          <w:b/>
          <w:color w:val="000000" w:themeColor="text1"/>
          <w:sz w:val="20"/>
          <w:szCs w:val="20"/>
        </w:rPr>
      </w:pPr>
    </w:p>
    <w:p w:rsidR="00DB5048" w:rsidP="00DB5048" w14:paraId="0824B17F" w14:textId="77777777">
      <w:pPr>
        <w:rPr>
          <w:b/>
          <w:color w:val="000000" w:themeColor="text1"/>
          <w:sz w:val="20"/>
          <w:szCs w:val="20"/>
        </w:rPr>
      </w:pPr>
    </w:p>
    <w:p w:rsidR="00DB5048" w:rsidP="00DB5048" w14:paraId="02BA0146" w14:textId="77777777">
      <w:pPr>
        <w:widowControl w:val="0"/>
        <w:tabs>
          <w:tab w:val="left" w:pos="7065"/>
        </w:tabs>
        <w:spacing w:line="288" w:lineRule="auto"/>
        <w:jc w:val="center"/>
        <w:rPr>
          <w:color w:val="000000" w:themeColor="text1"/>
          <w:sz w:val="16"/>
          <w:szCs w:val="16"/>
        </w:rPr>
      </w:pPr>
    </w:p>
    <w:p w:rsidR="00DB5048" w:rsidP="00DB5048" w14:paraId="34CF8D62" w14:textId="77777777">
      <w:pPr>
        <w:tabs>
          <w:tab w:val="left" w:pos="7380"/>
        </w:tabs>
        <w:rPr>
          <w:b/>
          <w:color w:val="000000" w:themeColor="text1"/>
          <w:sz w:val="26"/>
          <w:szCs w:val="26"/>
        </w:rPr>
      </w:pPr>
      <w:r>
        <w:rPr>
          <w:b/>
          <w:color w:val="000000" w:themeColor="text1"/>
          <w:sz w:val="26"/>
          <w:szCs w:val="26"/>
        </w:rPr>
        <w:t>Керуючий справами                         ______________        Дмитро ГАПЧЕНКО</w:t>
      </w:r>
    </w:p>
    <w:p w:rsidR="00DB5048" w:rsidP="00DB5048" w14:paraId="196FAFDD" w14:textId="77777777">
      <w:pPr>
        <w:widowControl w:val="0"/>
        <w:tabs>
          <w:tab w:val="left" w:pos="7065"/>
        </w:tabs>
        <w:spacing w:line="288" w:lineRule="auto"/>
        <w:jc w:val="center"/>
        <w:rPr>
          <w:color w:val="000000" w:themeColor="text1"/>
          <w:sz w:val="16"/>
          <w:szCs w:val="16"/>
        </w:rPr>
      </w:pPr>
      <w:r>
        <w:rPr>
          <w:bCs/>
        </w:rPr>
        <w:t>07.11.2025</w:t>
      </w:r>
    </w:p>
    <w:p w:rsidR="00DB5048" w:rsidP="00DB5048" w14:paraId="6CBA71CC" w14:textId="77777777">
      <w:pPr>
        <w:widowControl w:val="0"/>
        <w:tabs>
          <w:tab w:val="left" w:pos="7065"/>
        </w:tabs>
        <w:spacing w:line="288" w:lineRule="auto"/>
        <w:jc w:val="center"/>
        <w:rPr>
          <w:color w:val="000000" w:themeColor="text1"/>
          <w:sz w:val="16"/>
          <w:szCs w:val="16"/>
        </w:rPr>
      </w:pPr>
      <w:r>
        <w:rPr>
          <w:color w:val="000000" w:themeColor="text1"/>
          <w:sz w:val="16"/>
          <w:szCs w:val="16"/>
        </w:rPr>
        <w:t>(дата)</w:t>
      </w:r>
    </w:p>
    <w:p w:rsidR="00DB5048" w:rsidP="00DB5048" w14:paraId="47AC8802" w14:textId="77777777">
      <w:pPr>
        <w:rPr>
          <w:color w:val="000000" w:themeColor="text1"/>
          <w:sz w:val="16"/>
          <w:szCs w:val="16"/>
        </w:rPr>
      </w:pPr>
    </w:p>
    <w:p w:rsidR="00DB5048" w:rsidP="00DB5048" w14:paraId="40EA99F4" w14:textId="77777777">
      <w:pPr>
        <w:widowControl w:val="0"/>
        <w:tabs>
          <w:tab w:val="left" w:pos="7065"/>
        </w:tabs>
        <w:spacing w:line="288" w:lineRule="auto"/>
        <w:rPr>
          <w:b/>
          <w:color w:val="000000" w:themeColor="text1"/>
          <w:sz w:val="26"/>
          <w:szCs w:val="26"/>
        </w:rPr>
      </w:pPr>
      <w:r>
        <w:rPr>
          <w:b/>
          <w:color w:val="000000" w:themeColor="text1"/>
          <w:sz w:val="26"/>
          <w:szCs w:val="26"/>
        </w:rPr>
        <w:t>Начальник відділу закупівель</w:t>
      </w:r>
    </w:p>
    <w:p w:rsidR="00DB5048" w:rsidP="00DB5048" w14:paraId="03210EB2" w14:textId="77777777">
      <w:pPr>
        <w:widowControl w:val="0"/>
        <w:tabs>
          <w:tab w:val="left" w:pos="7065"/>
        </w:tabs>
        <w:spacing w:line="288" w:lineRule="auto"/>
        <w:rPr>
          <w:b/>
          <w:color w:val="000000" w:themeColor="text1"/>
        </w:rPr>
      </w:pPr>
      <w:r>
        <w:rPr>
          <w:b/>
          <w:color w:val="000000" w:themeColor="text1"/>
          <w:sz w:val="26"/>
          <w:szCs w:val="26"/>
        </w:rPr>
        <w:t xml:space="preserve">та   моніторингу цін             </w:t>
      </w:r>
      <w:r>
        <w:rPr>
          <w:color w:val="000000" w:themeColor="text1"/>
          <w:sz w:val="26"/>
          <w:szCs w:val="26"/>
        </w:rPr>
        <w:t xml:space="preserve">              _____________        </w:t>
      </w:r>
      <w:r>
        <w:rPr>
          <w:b/>
          <w:color w:val="000000" w:themeColor="text1"/>
          <w:sz w:val="26"/>
          <w:szCs w:val="26"/>
        </w:rPr>
        <w:t xml:space="preserve"> Вікторія ГЕРГЕЛЬ</w:t>
      </w:r>
    </w:p>
    <w:p w:rsidR="00DB5048" w:rsidP="00DB5048" w14:paraId="263D691B" w14:textId="77777777">
      <w:pPr>
        <w:widowControl w:val="0"/>
        <w:tabs>
          <w:tab w:val="left" w:pos="7065"/>
        </w:tabs>
        <w:spacing w:line="288" w:lineRule="auto"/>
        <w:jc w:val="center"/>
        <w:rPr>
          <w:color w:val="000000" w:themeColor="text1"/>
          <w:sz w:val="16"/>
          <w:szCs w:val="16"/>
        </w:rPr>
      </w:pPr>
      <w:r>
        <w:rPr>
          <w:bCs/>
        </w:rPr>
        <w:t>07.11.2025</w:t>
      </w:r>
    </w:p>
    <w:p w:rsidR="00DB5048" w:rsidRPr="009F2F4C" w:rsidP="00E919EE" w14:paraId="24252FAE" w14:textId="77777777">
      <w:pPr>
        <w:keepNext/>
        <w:tabs>
          <w:tab w:val="left" w:pos="14743"/>
        </w:tabs>
        <w:jc w:val="center"/>
        <w:rPr>
          <w:color w:val="000000" w:themeColor="text1"/>
          <w:spacing w:val="80"/>
          <w:sz w:val="28"/>
          <w:szCs w:val="28"/>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15:restartNumberingAfterBreak="0">
    <w:nsid w:val="242C6962"/>
    <w:multiLevelType w:val="hybridMultilevel"/>
    <w:tmpl w:val="FD10E1F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8655140"/>
    <w:multiLevelType w:val="hybridMultilevel"/>
    <w:tmpl w:val="58006078"/>
    <w:lvl w:ilvl="0">
      <w:start w:val="0"/>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8"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3"/>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lvlOverride w:ilvl="3"/>
    <w:lvlOverride w:ilvl="4"/>
    <w:lvlOverride w:ilvl="5"/>
    <w:lvlOverride w:ilvl="6"/>
    <w:lvlOverride w:ilvl="7"/>
    <w:lvlOverride w:ilv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B3C18"/>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1F497C"/>
    <w:rsid w:val="002065FB"/>
    <w:rsid w:val="00210753"/>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71006"/>
    <w:rsid w:val="00371A28"/>
    <w:rsid w:val="00372DB5"/>
    <w:rsid w:val="0038238D"/>
    <w:rsid w:val="0038435F"/>
    <w:rsid w:val="003875E3"/>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360C"/>
    <w:rsid w:val="004E587B"/>
    <w:rsid w:val="004E7142"/>
    <w:rsid w:val="004F03FA"/>
    <w:rsid w:val="005000A5"/>
    <w:rsid w:val="00502E54"/>
    <w:rsid w:val="005066E2"/>
    <w:rsid w:val="005123C9"/>
    <w:rsid w:val="005132BC"/>
    <w:rsid w:val="00513EFF"/>
    <w:rsid w:val="00515234"/>
    <w:rsid w:val="005400E1"/>
    <w:rsid w:val="00544A31"/>
    <w:rsid w:val="005546E3"/>
    <w:rsid w:val="00556B42"/>
    <w:rsid w:val="00564B81"/>
    <w:rsid w:val="00566400"/>
    <w:rsid w:val="00597151"/>
    <w:rsid w:val="005A055B"/>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E0D25"/>
    <w:rsid w:val="007F0230"/>
    <w:rsid w:val="007F0369"/>
    <w:rsid w:val="007F6994"/>
    <w:rsid w:val="00801910"/>
    <w:rsid w:val="00823103"/>
    <w:rsid w:val="00823C99"/>
    <w:rsid w:val="008268DE"/>
    <w:rsid w:val="00830842"/>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E0E3F"/>
    <w:rsid w:val="00C07432"/>
    <w:rsid w:val="00C16F8F"/>
    <w:rsid w:val="00C23A08"/>
    <w:rsid w:val="00C271CE"/>
    <w:rsid w:val="00C63284"/>
    <w:rsid w:val="00C63DC2"/>
    <w:rsid w:val="00C656CD"/>
    <w:rsid w:val="00C772AD"/>
    <w:rsid w:val="00C80037"/>
    <w:rsid w:val="00C95E8E"/>
    <w:rsid w:val="00C971F7"/>
    <w:rsid w:val="00CA3AD3"/>
    <w:rsid w:val="00CC4A64"/>
    <w:rsid w:val="00CE7828"/>
    <w:rsid w:val="00D074C2"/>
    <w:rsid w:val="00D24856"/>
    <w:rsid w:val="00D267D6"/>
    <w:rsid w:val="00D34F93"/>
    <w:rsid w:val="00D360D1"/>
    <w:rsid w:val="00D41951"/>
    <w:rsid w:val="00D825F7"/>
    <w:rsid w:val="00D830E0"/>
    <w:rsid w:val="00D93E6E"/>
    <w:rsid w:val="00DA0307"/>
    <w:rsid w:val="00DA6952"/>
    <w:rsid w:val="00DB5048"/>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396B3D7B"/>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uiPriority w:val="99"/>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qFormat/>
    <w:rsid w:val="00AD7A92"/>
    <w:rPr>
      <w:i/>
    </w:rPr>
  </w:style>
  <w:style w:type="paragraph" w:customStyle="1" w:styleId="tbl-cod">
    <w:name w:val="tbl-cod"/>
    <w:basedOn w:val="Normal"/>
    <w:uiPriority w:val="99"/>
    <w:rsid w:val="00DB5048"/>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1178-2022-%D0%BF" TargetMode="External" /><Relationship Id="rId6" Type="http://schemas.openxmlformats.org/officeDocument/2006/relationships/hyperlink" Target="https://zakon.rada.gov.ua/laws/show/2019-19" TargetMode="External" /><Relationship Id="rId7" Type="http://schemas.openxmlformats.org/officeDocument/2006/relationships/hyperlink" Target="https://zakon.rada.gov.ua/laws/show/v0310874-18" TargetMode="External" /><Relationship Id="rId8" Type="http://schemas.openxmlformats.org/officeDocument/2006/relationships/hyperlink" Target="https://zakon.rada.gov.ua/laws/show/1682-14" TargetMode="External" /><Relationship Id="rId9" Type="http://schemas.openxmlformats.org/officeDocument/2006/relationships/hyperlink" Target="https://www.nerc.gov.ua/reyestri-nkrekp/reyestri-subyektiv-prirodnih-monopolij-nkrekp"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10266</Words>
  <Characters>5852</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86</cp:revision>
  <cp:lastPrinted>2025-10-13T14:49:00Z</cp:lastPrinted>
  <dcterms:created xsi:type="dcterms:W3CDTF">2025-02-20T06:19:00Z</dcterms:created>
  <dcterms:modified xsi:type="dcterms:W3CDTF">2025-11-26T09:34:00Z</dcterms:modified>
</cp:coreProperties>
</file>