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CC3919" w:rsidRPr="009256E4" w:rsidRDefault="000D3A2F" w:rsidP="00CC391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proofErr w:type="spellStart"/>
      <w:r w:rsidR="00CC3919" w:rsidRPr="009256E4">
        <w:rPr>
          <w:rFonts w:hint="eastAsia"/>
        </w:rPr>
        <w:t>Послуги</w:t>
      </w:r>
      <w:proofErr w:type="spellEnd"/>
      <w:r w:rsidR="00CC3919" w:rsidRPr="009256E4">
        <w:t xml:space="preserve"> </w:t>
      </w:r>
      <w:r w:rsidR="00CC3919" w:rsidRPr="009256E4">
        <w:rPr>
          <w:rFonts w:hint="eastAsia"/>
        </w:rPr>
        <w:t>з</w:t>
      </w:r>
      <w:r w:rsidR="00CC3919" w:rsidRPr="009256E4">
        <w:t xml:space="preserve"> </w:t>
      </w:r>
      <w:r w:rsidR="00CC3919" w:rsidRPr="009256E4">
        <w:rPr>
          <w:rFonts w:hint="eastAsia"/>
        </w:rPr>
        <w:t>ремонту</w:t>
      </w:r>
      <w:r w:rsidR="00CC3919" w:rsidRPr="009256E4">
        <w:t xml:space="preserve"> </w:t>
      </w:r>
      <w:r w:rsidR="00CC3919" w:rsidRPr="009256E4">
        <w:rPr>
          <w:rFonts w:hint="eastAsia"/>
        </w:rPr>
        <w:t>і</w:t>
      </w:r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технічного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обслуговування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автомобілів</w:t>
      </w:r>
      <w:proofErr w:type="spellEnd"/>
      <w:r w:rsidR="00CC3919" w:rsidRPr="009256E4">
        <w:t xml:space="preserve">, </w:t>
      </w:r>
      <w:r w:rsidR="00CC3919" w:rsidRPr="009256E4">
        <w:rPr>
          <w:rFonts w:hint="eastAsia"/>
        </w:rPr>
        <w:t>код</w:t>
      </w:r>
      <w:r w:rsidR="00CC3919" w:rsidRPr="009256E4">
        <w:t xml:space="preserve"> </w:t>
      </w:r>
      <w:r w:rsidR="00CC3919" w:rsidRPr="009256E4">
        <w:rPr>
          <w:rFonts w:hint="eastAsia"/>
        </w:rPr>
        <w:t>за</w:t>
      </w:r>
      <w:r w:rsidR="00CC3919" w:rsidRPr="009256E4">
        <w:t xml:space="preserve"> </w:t>
      </w:r>
      <w:r w:rsidR="00CC3919" w:rsidRPr="009256E4">
        <w:rPr>
          <w:rFonts w:hint="eastAsia"/>
        </w:rPr>
        <w:t>ДК</w:t>
      </w:r>
      <w:r w:rsidR="00CC3919" w:rsidRPr="009256E4">
        <w:t xml:space="preserve"> 021:2015 "</w:t>
      </w:r>
      <w:proofErr w:type="spellStart"/>
      <w:r w:rsidR="00CC3919" w:rsidRPr="009256E4">
        <w:rPr>
          <w:rFonts w:hint="eastAsia"/>
        </w:rPr>
        <w:t>Єдиний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закупівельний</w:t>
      </w:r>
      <w:proofErr w:type="spellEnd"/>
      <w:r w:rsidR="00CC3919" w:rsidRPr="009256E4">
        <w:t xml:space="preserve"> </w:t>
      </w:r>
      <w:r w:rsidR="00CC3919" w:rsidRPr="009256E4">
        <w:rPr>
          <w:rFonts w:hint="eastAsia"/>
        </w:rPr>
        <w:t>словник»</w:t>
      </w:r>
      <w:r w:rsidR="00CC3919" w:rsidRPr="009256E4">
        <w:t xml:space="preserve"> - 50110000-9 </w:t>
      </w:r>
      <w:bookmarkStart w:id="1" w:name="_Hlk195168485"/>
      <w:proofErr w:type="spellStart"/>
      <w:r w:rsidR="00CC3919" w:rsidRPr="009256E4">
        <w:rPr>
          <w:rFonts w:hint="eastAsia"/>
        </w:rPr>
        <w:t>Послуги</w:t>
      </w:r>
      <w:proofErr w:type="spellEnd"/>
      <w:r w:rsidR="00CC3919" w:rsidRPr="009256E4">
        <w:t xml:space="preserve"> </w:t>
      </w:r>
      <w:r w:rsidR="00CC3919" w:rsidRPr="009256E4">
        <w:rPr>
          <w:rFonts w:hint="eastAsia"/>
        </w:rPr>
        <w:t>з</w:t>
      </w:r>
      <w:r w:rsidR="00CC3919" w:rsidRPr="009256E4">
        <w:t xml:space="preserve"> </w:t>
      </w:r>
      <w:r w:rsidR="00CC3919" w:rsidRPr="009256E4">
        <w:rPr>
          <w:rFonts w:hint="eastAsia"/>
        </w:rPr>
        <w:t>ремонту</w:t>
      </w:r>
      <w:r w:rsidR="00CC3919" w:rsidRPr="009256E4">
        <w:t xml:space="preserve"> </w:t>
      </w:r>
      <w:r w:rsidR="00CC3919" w:rsidRPr="009256E4">
        <w:rPr>
          <w:rFonts w:hint="eastAsia"/>
        </w:rPr>
        <w:t>і</w:t>
      </w:r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технічного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обслуговування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мототранспортних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засобів</w:t>
      </w:r>
      <w:proofErr w:type="spellEnd"/>
      <w:r w:rsidR="00CC3919" w:rsidRPr="009256E4">
        <w:t xml:space="preserve"> </w:t>
      </w:r>
      <w:r w:rsidR="00CC3919" w:rsidRPr="009256E4">
        <w:rPr>
          <w:rFonts w:hint="eastAsia"/>
        </w:rPr>
        <w:t>і</w:t>
      </w:r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супутнього</w:t>
      </w:r>
      <w:proofErr w:type="spellEnd"/>
      <w:r w:rsidR="00CC3919" w:rsidRPr="009256E4">
        <w:t xml:space="preserve"> </w:t>
      </w:r>
      <w:proofErr w:type="spellStart"/>
      <w:r w:rsidR="00CC3919" w:rsidRPr="009256E4">
        <w:rPr>
          <w:rFonts w:hint="eastAsia"/>
        </w:rPr>
        <w:t>обладнання</w:t>
      </w:r>
      <w:proofErr w:type="spellEnd"/>
      <w:r w:rsidR="00CC3919">
        <w:rPr>
          <w:lang w:val="uk-UA"/>
        </w:rPr>
        <w:t>.</w:t>
      </w:r>
      <w:bookmarkEnd w:id="1"/>
    </w:p>
    <w:p w:rsidR="00B620C5" w:rsidRPr="007147E6" w:rsidRDefault="00B620C5" w:rsidP="00462FA3">
      <w:pPr>
        <w:jc w:val="both"/>
        <w:rPr>
          <w:b/>
          <w:sz w:val="22"/>
          <w:szCs w:val="22"/>
          <w:lang w:val="uk-UA"/>
        </w:rPr>
      </w:pPr>
    </w:p>
    <w:p w:rsidR="000D3A2F" w:rsidRPr="009D614A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B3765E">
        <w:rPr>
          <w:b/>
          <w:sz w:val="22"/>
          <w:szCs w:val="22"/>
          <w:lang w:val="uk-UA"/>
        </w:rPr>
        <w:t xml:space="preserve">3. Ідентифікатор </w:t>
      </w:r>
      <w:r w:rsidR="00B620C5" w:rsidRPr="00B3765E">
        <w:rPr>
          <w:b/>
          <w:sz w:val="22"/>
          <w:szCs w:val="22"/>
          <w:lang w:val="uk-UA"/>
        </w:rPr>
        <w:t>закупівлі:</w:t>
      </w:r>
      <w:r w:rsidR="00B620C5" w:rsidRPr="00B3765E">
        <w:t xml:space="preserve"> </w:t>
      </w:r>
      <w:hyperlink r:id="rId5" w:tgtFrame="_blank" w:history="1">
        <w:r w:rsidR="00B3765E" w:rsidRPr="009D614A">
          <w:rPr>
            <w:rFonts w:ascii="Segoe UI" w:hAnsi="Segoe UI" w:cs="Segoe UI"/>
            <w:color w:val="000000" w:themeColor="text1"/>
            <w:sz w:val="21"/>
            <w:szCs w:val="21"/>
            <w:u w:val="single"/>
            <w:shd w:val="clear" w:color="auto" w:fill="FFFFFF"/>
          </w:rPr>
          <w:t>UA-2025-04-10-004027-a</w:t>
        </w:r>
      </w:hyperlink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6D5FA2" w:rsidRPr="00267E0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B9048C">
        <w:t xml:space="preserve"> 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620C5" w:rsidRPr="00A75459" w:rsidRDefault="000D3A2F" w:rsidP="00B620C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CC3919">
        <w:rPr>
          <w:lang w:val="uk-UA"/>
        </w:rPr>
        <w:t>629133,00 грн (</w:t>
      </w:r>
      <w:r w:rsidR="00CC3919" w:rsidRPr="009256E4">
        <w:rPr>
          <w:rFonts w:hint="eastAsia"/>
          <w:lang w:val="uk-UA"/>
        </w:rPr>
        <w:t>шістсот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двадцять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дев</w:t>
      </w:r>
      <w:r w:rsidR="00CC3919" w:rsidRPr="009256E4">
        <w:rPr>
          <w:lang w:val="uk-UA"/>
        </w:rPr>
        <w:t>'</w:t>
      </w:r>
      <w:r w:rsidR="00CC3919" w:rsidRPr="009256E4">
        <w:rPr>
          <w:rFonts w:hint="eastAsia"/>
          <w:lang w:val="uk-UA"/>
        </w:rPr>
        <w:t>ять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тисяч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сто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тридцять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три</w:t>
      </w:r>
      <w:r w:rsidR="00CC3919" w:rsidRPr="009256E4">
        <w:rPr>
          <w:lang w:val="uk-UA"/>
        </w:rPr>
        <w:t xml:space="preserve"> </w:t>
      </w:r>
      <w:r w:rsidR="00CC3919" w:rsidRPr="009256E4">
        <w:rPr>
          <w:rFonts w:hint="eastAsia"/>
          <w:lang w:val="uk-UA"/>
        </w:rPr>
        <w:t>гривні</w:t>
      </w:r>
      <w:r w:rsidR="00CC3919" w:rsidRPr="009256E4">
        <w:rPr>
          <w:lang w:val="uk-UA"/>
        </w:rPr>
        <w:t xml:space="preserve"> 00 </w:t>
      </w:r>
      <w:r w:rsidR="00CC3919" w:rsidRPr="009256E4">
        <w:rPr>
          <w:rFonts w:hint="eastAsia"/>
          <w:lang w:val="uk-UA"/>
        </w:rPr>
        <w:t>копійок</w:t>
      </w:r>
      <w:r w:rsidR="00CC3919">
        <w:rPr>
          <w:lang w:val="uk-UA"/>
        </w:rPr>
        <w:t>)</w:t>
      </w:r>
      <w:r w:rsidR="00CC3919" w:rsidRPr="009256E4">
        <w:rPr>
          <w:lang w:val="uk-UA"/>
        </w:rPr>
        <w:t xml:space="preserve">, </w:t>
      </w:r>
      <w:r w:rsidR="00CC3919" w:rsidRPr="009256E4">
        <w:rPr>
          <w:rFonts w:hint="eastAsia"/>
          <w:lang w:val="uk-UA"/>
        </w:rPr>
        <w:t>у</w:t>
      </w:r>
      <w:r w:rsidR="00CC3919" w:rsidRPr="009256E4">
        <w:rPr>
          <w:lang w:val="uk-UA"/>
        </w:rPr>
        <w:t xml:space="preserve"> </w:t>
      </w:r>
      <w:proofErr w:type="spellStart"/>
      <w:r w:rsidR="00CC3919" w:rsidRPr="009256E4">
        <w:rPr>
          <w:rFonts w:hint="eastAsia"/>
          <w:lang w:val="uk-UA"/>
        </w:rPr>
        <w:t>т</w:t>
      </w:r>
      <w:r w:rsidR="00CC3919" w:rsidRPr="009256E4">
        <w:rPr>
          <w:lang w:val="uk-UA"/>
        </w:rPr>
        <w:t>.</w:t>
      </w:r>
      <w:r w:rsidR="00CC3919" w:rsidRPr="009256E4">
        <w:rPr>
          <w:rFonts w:hint="eastAsia"/>
          <w:lang w:val="uk-UA"/>
        </w:rPr>
        <w:t>ч</w:t>
      </w:r>
      <w:proofErr w:type="spellEnd"/>
      <w:r w:rsidR="00CC3919" w:rsidRPr="009256E4">
        <w:rPr>
          <w:lang w:val="uk-UA"/>
        </w:rPr>
        <w:t xml:space="preserve">. </w:t>
      </w:r>
      <w:r w:rsidR="00CC3919" w:rsidRPr="009256E4">
        <w:rPr>
          <w:rFonts w:hint="eastAsia"/>
          <w:lang w:val="uk-UA"/>
        </w:rPr>
        <w:t>ПДВ</w:t>
      </w:r>
      <w:r w:rsidR="00CC3919" w:rsidRPr="009256E4">
        <w:rPr>
          <w:lang w:val="uk-UA"/>
        </w:rPr>
        <w:t xml:space="preserve"> (20%) 104 855.50 </w:t>
      </w:r>
      <w:r w:rsidR="00CC3919" w:rsidRPr="009256E4">
        <w:rPr>
          <w:rFonts w:hint="eastAsia"/>
          <w:lang w:val="uk-UA"/>
        </w:rPr>
        <w:t>грн</w:t>
      </w:r>
      <w:r w:rsidR="00CC3919" w:rsidRPr="009256E4">
        <w:rPr>
          <w:lang w:val="uk-UA"/>
        </w:rPr>
        <w:t>.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93F35" w:rsidRPr="00F86DA1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</w:t>
      </w:r>
      <w:r w:rsidR="00993F35">
        <w:rPr>
          <w:color w:val="000000" w:themeColor="text1"/>
          <w:sz w:val="22"/>
          <w:szCs w:val="22"/>
          <w:lang w:val="uk-UA"/>
        </w:rPr>
        <w:t xml:space="preserve">Бучанського міського голови «Про організаційні питання здійснення публічних </w:t>
      </w:r>
      <w:proofErr w:type="spellStart"/>
      <w:r w:rsidR="00993F35">
        <w:rPr>
          <w:color w:val="000000" w:themeColor="text1"/>
          <w:sz w:val="22"/>
          <w:szCs w:val="22"/>
          <w:lang w:val="uk-UA"/>
        </w:rPr>
        <w:t>закупівель</w:t>
      </w:r>
      <w:proofErr w:type="spellEnd"/>
      <w:r w:rsidR="00993F35">
        <w:rPr>
          <w:color w:val="000000" w:themeColor="text1"/>
          <w:sz w:val="22"/>
          <w:szCs w:val="22"/>
          <w:lang w:val="uk-UA"/>
        </w:rPr>
        <w:t xml:space="preserve"> на території Бучанської міської територіальної громади»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 від 11.04.2024 № 52 (далі — Методика).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</w:t>
      </w:r>
      <w:r>
        <w:rPr>
          <w:color w:val="000000" w:themeColor="text1"/>
          <w:sz w:val="22"/>
          <w:szCs w:val="22"/>
          <w:lang w:val="uk-UA"/>
        </w:rPr>
        <w:t>р</w:t>
      </w:r>
      <w:r w:rsidRPr="00F86DA1">
        <w:rPr>
          <w:color w:val="000000" w:themeColor="text1"/>
          <w:sz w:val="22"/>
          <w:szCs w:val="22"/>
          <w:lang w:val="uk-UA"/>
        </w:rPr>
        <w:t xml:space="preserve">озрахунок очікуваної вартості  на підставі метода порівняння ринкових цін.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)/К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993F35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Ініціатором</w:t>
      </w:r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було</w:t>
      </w:r>
      <w:proofErr w:type="spellEnd"/>
      <w:r w:rsidRPr="00F86DA1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F86DA1">
        <w:rPr>
          <w:color w:val="000000" w:themeColor="text1"/>
          <w:sz w:val="22"/>
          <w:szCs w:val="22"/>
        </w:rPr>
        <w:t>попередні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ринкові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консультації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щодо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закупівлі</w:t>
      </w:r>
      <w:proofErr w:type="spellEnd"/>
      <w:r w:rsidRPr="00F86DA1">
        <w:rPr>
          <w:color w:val="000000" w:themeColor="text1"/>
          <w:sz w:val="22"/>
          <w:szCs w:val="22"/>
        </w:rPr>
        <w:t xml:space="preserve"> у </w:t>
      </w:r>
      <w:proofErr w:type="spellStart"/>
      <w:r w:rsidRPr="00F86DA1">
        <w:rPr>
          <w:color w:val="000000" w:themeColor="text1"/>
          <w:sz w:val="22"/>
          <w:szCs w:val="22"/>
        </w:rPr>
        <w:t>вигляді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збору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комерційних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пропозицій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r w:rsidR="009B3DCF">
        <w:rPr>
          <w:color w:val="000000" w:themeColor="text1"/>
          <w:sz w:val="22"/>
          <w:szCs w:val="22"/>
          <w:lang w:val="uk-UA"/>
        </w:rPr>
        <w:t>надавачів послуг</w:t>
      </w:r>
      <w:r w:rsidRPr="00F86DA1">
        <w:rPr>
          <w:color w:val="000000" w:themeColor="text1"/>
          <w:sz w:val="22"/>
          <w:szCs w:val="22"/>
          <w:lang w:val="uk-UA"/>
        </w:rPr>
        <w:t>.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Анал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Комерційна пропозиція </w:t>
      </w:r>
      <w:r w:rsidR="00CC3919">
        <w:rPr>
          <w:color w:val="000000" w:themeColor="text1"/>
          <w:sz w:val="22"/>
          <w:szCs w:val="22"/>
          <w:lang w:val="uk-UA"/>
        </w:rPr>
        <w:t>ФОП Литвиненко З.В.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Комерційна пропозиція </w:t>
      </w:r>
      <w:r w:rsidR="00CC3919">
        <w:rPr>
          <w:color w:val="000000" w:themeColor="text1"/>
          <w:sz w:val="22"/>
          <w:szCs w:val="22"/>
          <w:lang w:val="uk-UA"/>
        </w:rPr>
        <w:t>ФОП Кирилко В.М.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Комерційна пропозиція </w:t>
      </w:r>
      <w:r w:rsidR="00CC3919">
        <w:rPr>
          <w:color w:val="000000" w:themeColor="text1"/>
          <w:sz w:val="22"/>
          <w:szCs w:val="22"/>
          <w:lang w:val="uk-UA"/>
        </w:rPr>
        <w:t>ФОП Мартиненко С.О.</w:t>
      </w:r>
    </w:p>
    <w:p w:rsidR="00993F35" w:rsidRPr="00F86DA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0D3A2F" w:rsidRPr="005A4404" w:rsidRDefault="009C3405" w:rsidP="005A4404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</w:t>
      </w:r>
      <w:r w:rsidR="005A44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0D3A2F" w:rsidRPr="005A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126C8B"/>
    <w:rsid w:val="0013643F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0A6"/>
    <w:rsid w:val="0054264B"/>
    <w:rsid w:val="00554A1B"/>
    <w:rsid w:val="00580D77"/>
    <w:rsid w:val="005A4404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D614A"/>
    <w:rsid w:val="009E60D0"/>
    <w:rsid w:val="009E6117"/>
    <w:rsid w:val="00A64C20"/>
    <w:rsid w:val="00A66CAA"/>
    <w:rsid w:val="00B3765E"/>
    <w:rsid w:val="00B617EA"/>
    <w:rsid w:val="00B620C5"/>
    <w:rsid w:val="00B9048C"/>
    <w:rsid w:val="00BB5A10"/>
    <w:rsid w:val="00BC7692"/>
    <w:rsid w:val="00BF4665"/>
    <w:rsid w:val="00CA7922"/>
    <w:rsid w:val="00CC3919"/>
    <w:rsid w:val="00CD70B4"/>
    <w:rsid w:val="00DA3B19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13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4-10-00402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1931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59</cp:revision>
  <dcterms:created xsi:type="dcterms:W3CDTF">2023-05-11T07:52:00Z</dcterms:created>
  <dcterms:modified xsi:type="dcterms:W3CDTF">2025-04-10T08:20:00Z</dcterms:modified>
</cp:coreProperties>
</file>