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7D61C7F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23F0D">
        <w:rPr>
          <w:b/>
          <w:i/>
          <w:lang w:val="uk-UA"/>
        </w:rPr>
        <w:t>)</w:t>
      </w:r>
      <w:r w:rsidR="00823F0D">
        <w:rPr>
          <w:i/>
          <w:lang w:val="uk-UA"/>
        </w:rPr>
        <w:t xml:space="preserve"> </w:t>
      </w:r>
      <w:r w:rsidR="00503FC0">
        <w:rPr>
          <w:i/>
          <w:lang w:val="uk-UA"/>
        </w:rPr>
        <w:t xml:space="preserve">-  </w:t>
      </w:r>
      <w:r w:rsidR="00823F0D">
        <w:rPr>
          <w:i/>
          <w:lang w:val="uk-UA"/>
        </w:rPr>
        <w:t>3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823F0D">
        <w:rPr>
          <w:bCs/>
          <w:i/>
          <w:color w:val="000000"/>
          <w:lang w:val="uk-UA"/>
        </w:rPr>
        <w:t>02</w:t>
      </w:r>
      <w:r w:rsidR="004E7452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>0000-</w:t>
      </w:r>
      <w:r w:rsidR="0072269D">
        <w:rPr>
          <w:bCs/>
          <w:i/>
          <w:color w:val="000000"/>
          <w:lang w:val="uk-UA"/>
        </w:rPr>
        <w:t>4</w:t>
      </w:r>
      <w:r w:rsidR="00823F0D">
        <w:rPr>
          <w:bCs/>
          <w:i/>
          <w:color w:val="000000"/>
          <w:lang w:val="uk-UA"/>
        </w:rPr>
        <w:t>Машини для обробки даних (апаратна частина)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6E6D38AE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823F0D">
        <w:rPr>
          <w:i/>
          <w:lang w:val="uk-UA"/>
        </w:rPr>
        <w:t>7</w:t>
      </w:r>
      <w:r w:rsidR="00DD1383">
        <w:rPr>
          <w:i/>
          <w:lang w:val="uk-UA"/>
        </w:rPr>
        <w:t>-</w:t>
      </w:r>
      <w:r w:rsidR="00823F0D">
        <w:rPr>
          <w:i/>
          <w:lang w:val="uk-UA"/>
        </w:rPr>
        <w:t>05</w:t>
      </w:r>
      <w:r w:rsidRPr="00B313E7">
        <w:rPr>
          <w:i/>
          <w:lang w:val="uk-UA"/>
        </w:rPr>
        <w:t>-0</w:t>
      </w:r>
      <w:r w:rsidR="0072269D">
        <w:rPr>
          <w:i/>
          <w:lang w:val="uk-UA"/>
        </w:rPr>
        <w:t>0</w:t>
      </w:r>
      <w:r w:rsidR="00823F0D">
        <w:rPr>
          <w:i/>
          <w:lang w:val="uk-UA"/>
        </w:rPr>
        <w:t>78</w:t>
      </w:r>
      <w:r w:rsidR="008F3925">
        <w:rPr>
          <w:i/>
          <w:lang w:val="uk-UA"/>
        </w:rPr>
        <w:t>53</w:t>
      </w:r>
      <w:bookmarkStart w:id="0" w:name="_GoBack"/>
      <w:bookmarkEnd w:id="0"/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1B313AEC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 xml:space="preserve">запитів військових частин на підставі Подання начальника відділу </w:t>
      </w:r>
      <w:r w:rsidR="00823F0D">
        <w:rPr>
          <w:i/>
          <w:lang w:val="uk-UA"/>
        </w:rPr>
        <w:t xml:space="preserve">інформаційних технологій та цифрового розвитку управління комунікацій, </w:t>
      </w:r>
      <w:proofErr w:type="spellStart"/>
      <w:r w:rsidR="00823F0D">
        <w:rPr>
          <w:i/>
          <w:lang w:val="uk-UA"/>
        </w:rPr>
        <w:t>зв’язків</w:t>
      </w:r>
      <w:proofErr w:type="spellEnd"/>
      <w:r w:rsidR="00823F0D">
        <w:rPr>
          <w:i/>
          <w:lang w:val="uk-UA"/>
        </w:rPr>
        <w:t xml:space="preserve"> та інформаційної політики</w:t>
      </w:r>
      <w:r w:rsidR="00844DE9">
        <w:rPr>
          <w:i/>
          <w:lang w:val="uk-UA"/>
        </w:rPr>
        <w:t xml:space="preserve">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813689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823F0D">
        <w:rPr>
          <w:i/>
          <w:lang w:val="uk-UA"/>
        </w:rPr>
        <w:t>29</w:t>
      </w:r>
      <w:r w:rsidR="006333DC">
        <w:rPr>
          <w:i/>
          <w:lang w:val="uk-UA"/>
        </w:rPr>
        <w:t>1</w:t>
      </w:r>
      <w:r w:rsidR="004E7452">
        <w:rPr>
          <w:i/>
          <w:lang w:val="uk-UA"/>
        </w:rPr>
        <w:t xml:space="preserve"> 0</w:t>
      </w:r>
      <w:r w:rsidR="00823F0D">
        <w:rPr>
          <w:i/>
          <w:lang w:val="uk-UA"/>
        </w:rPr>
        <w:t>52</w:t>
      </w:r>
      <w:r w:rsidR="00784DA0" w:rsidRPr="00B313E7">
        <w:rPr>
          <w:i/>
          <w:lang w:val="uk-UA"/>
        </w:rPr>
        <w:t>,</w:t>
      </w:r>
      <w:r w:rsidR="00823F0D">
        <w:rPr>
          <w:i/>
          <w:lang w:val="uk-UA"/>
        </w:rPr>
        <w:t>5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53CAA0E6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 xml:space="preserve">ані Замовником </w:t>
      </w:r>
      <w:proofErr w:type="spellStart"/>
      <w:r w:rsidR="00823F0D">
        <w:rPr>
          <w:i/>
          <w:color w:val="000000"/>
          <w:shd w:val="clear" w:color="auto" w:fill="FFFFFF"/>
          <w:lang w:val="uk-UA"/>
        </w:rPr>
        <w:t>наданиї</w:t>
      </w:r>
      <w:proofErr w:type="spellEnd"/>
      <w:r w:rsidR="00823F0D">
        <w:rPr>
          <w:i/>
          <w:color w:val="000000"/>
          <w:shd w:val="clear" w:color="auto" w:fill="FFFFFF"/>
          <w:lang w:val="uk-UA"/>
        </w:rPr>
        <w:t xml:space="preserve"> 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6F7F0F22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 xml:space="preserve">отриманих  Замовником </w:t>
      </w:r>
      <w:r w:rsidR="00823F0D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4D295D2F" w14:textId="5E5F3D66" w:rsidR="004F53FD" w:rsidRDefault="00D91E9F" w:rsidP="004F53FD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Комерційна пропозиція ФОП Дяченко О.В.;</w:t>
      </w:r>
    </w:p>
    <w:p w14:paraId="06C367EC" w14:textId="1C7D8132" w:rsidR="00D91E9F" w:rsidRDefault="00D91E9F" w:rsidP="004F53FD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Комерційна пропозиція ТОВ «Сервер </w:t>
      </w:r>
      <w:proofErr w:type="spellStart"/>
      <w:r>
        <w:rPr>
          <w:i/>
          <w:lang w:val="uk-UA" w:eastAsia="ar-SA"/>
        </w:rPr>
        <w:t>Молл</w:t>
      </w:r>
      <w:proofErr w:type="spellEnd"/>
      <w:r>
        <w:rPr>
          <w:i/>
          <w:lang w:val="uk-UA" w:eastAsia="ar-SA"/>
        </w:rPr>
        <w:t>»;</w:t>
      </w:r>
    </w:p>
    <w:p w14:paraId="15D212D7" w14:textId="165740A3" w:rsidR="00D91E9F" w:rsidRDefault="00D91E9F" w:rsidP="004F53FD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Комерційна пропозиція ТОВ «Арсенал-Постач»</w:t>
      </w:r>
    </w:p>
    <w:sectPr w:rsidR="00D91E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E7452"/>
    <w:rsid w:val="004F53FD"/>
    <w:rsid w:val="00503FC0"/>
    <w:rsid w:val="005630D6"/>
    <w:rsid w:val="005A594F"/>
    <w:rsid w:val="005B020C"/>
    <w:rsid w:val="005F4A5C"/>
    <w:rsid w:val="006333DC"/>
    <w:rsid w:val="0067267A"/>
    <w:rsid w:val="006A3DFD"/>
    <w:rsid w:val="006A5D92"/>
    <w:rsid w:val="006D7354"/>
    <w:rsid w:val="0072269D"/>
    <w:rsid w:val="00784384"/>
    <w:rsid w:val="00784DA0"/>
    <w:rsid w:val="007E6243"/>
    <w:rsid w:val="007F1E9A"/>
    <w:rsid w:val="00823F0D"/>
    <w:rsid w:val="00844DE9"/>
    <w:rsid w:val="00894B70"/>
    <w:rsid w:val="008C5EDD"/>
    <w:rsid w:val="008F3925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401CE"/>
    <w:rsid w:val="00D65C53"/>
    <w:rsid w:val="00D91E9F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2024-07-12T06:55:00Z</dcterms:created>
  <dcterms:modified xsi:type="dcterms:W3CDTF">2024-07-12T06:56:00Z</dcterms:modified>
</cp:coreProperties>
</file>