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656EB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30</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sidR="005C1695">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C37874">
        <w:rPr>
          <w:rFonts w:ascii="Times New Roman" w:hAnsi="Times New Roman" w:cs="Times New Roman"/>
          <w:b/>
          <w:bCs/>
          <w:sz w:val="26"/>
          <w:szCs w:val="26"/>
          <w:lang w:val="uk-UA"/>
        </w:rPr>
        <w:t>1</w:t>
      </w:r>
      <w:r>
        <w:rPr>
          <w:rFonts w:ascii="Times New Roman" w:hAnsi="Times New Roman" w:cs="Times New Roman"/>
          <w:b/>
          <w:bCs/>
          <w:sz w:val="26"/>
          <w:szCs w:val="26"/>
          <w:lang w:val="uk-UA"/>
        </w:rPr>
        <w:t>857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94563B">
        <w:rPr>
          <w:rFonts w:ascii="Times New Roman" w:eastAsia="Times New Roman" w:hAnsi="Times New Roman" w:cs="Times New Roman"/>
          <w:b/>
          <w:sz w:val="24"/>
          <w:szCs w:val="24"/>
          <w:lang w:val="uk-UA"/>
        </w:rPr>
        <w:t>2</w:t>
      </w:r>
      <w:r w:rsidR="00656EB1">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 xml:space="preserve">-С                від </w:t>
      </w:r>
      <w:r w:rsidR="00656EB1">
        <w:rPr>
          <w:rFonts w:ascii="Times New Roman" w:eastAsia="Times New Roman" w:hAnsi="Times New Roman" w:cs="Times New Roman"/>
          <w:b/>
          <w:sz w:val="24"/>
          <w:szCs w:val="24"/>
          <w:lang w:val="uk-UA"/>
        </w:rPr>
        <w:t>21</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C27070">
        <w:rPr>
          <w:rFonts w:ascii="Times New Roman" w:eastAsia="Times New Roman" w:hAnsi="Times New Roman" w:cs="Times New Roman"/>
          <w:b/>
          <w:sz w:val="24"/>
          <w:szCs w:val="24"/>
          <w:lang w:val="uk-UA"/>
        </w:rPr>
        <w:t>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1" w:name="_Hlk152687336"/>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656EB1">
        <w:rPr>
          <w:rFonts w:ascii="Times New Roman" w:eastAsia="Times New Roman" w:hAnsi="Times New Roman" w:cs="Times New Roman"/>
          <w:b/>
          <w:bCs/>
          <w:sz w:val="24"/>
          <w:szCs w:val="24"/>
          <w:lang w:val="uk-UA"/>
        </w:rPr>
        <w:t>Снопковській</w:t>
      </w:r>
      <w:proofErr w:type="spellEnd"/>
      <w:r w:rsidR="00656EB1">
        <w:rPr>
          <w:rFonts w:ascii="Times New Roman" w:eastAsia="Times New Roman" w:hAnsi="Times New Roman" w:cs="Times New Roman"/>
          <w:b/>
          <w:bCs/>
          <w:sz w:val="24"/>
          <w:szCs w:val="24"/>
          <w:lang w:val="uk-UA"/>
        </w:rPr>
        <w:t xml:space="preserve"> Світлані Борисівні</w:t>
      </w:r>
      <w:r w:rsidR="00F270A2">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656EB1">
        <w:rPr>
          <w:rFonts w:ascii="Times New Roman" w:eastAsia="Times New Roman" w:hAnsi="Times New Roman" w:cs="Times New Roman"/>
          <w:sz w:val="24"/>
          <w:szCs w:val="24"/>
          <w:lang w:val="uk-UA"/>
        </w:rPr>
        <w:t>19</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94563B">
        <w:rPr>
          <w:rFonts w:ascii="Times New Roman" w:eastAsia="Times New Roman" w:hAnsi="Times New Roman" w:cs="Times New Roman"/>
          <w:sz w:val="24"/>
          <w:szCs w:val="24"/>
          <w:lang w:val="uk-UA"/>
        </w:rPr>
        <w:t>5</w:t>
      </w:r>
      <w:r w:rsidR="00656EB1">
        <w:rPr>
          <w:rFonts w:ascii="Times New Roman" w:eastAsia="Times New Roman" w:hAnsi="Times New Roman" w:cs="Times New Roman"/>
          <w:sz w:val="24"/>
          <w:szCs w:val="24"/>
          <w:lang w:val="uk-UA"/>
        </w:rPr>
        <w:t>7205</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656EB1">
        <w:rPr>
          <w:rFonts w:ascii="Times New Roman" w:eastAsia="Times New Roman" w:hAnsi="Times New Roman" w:cs="Times New Roman"/>
          <w:b/>
          <w:bCs/>
          <w:sz w:val="24"/>
          <w:szCs w:val="24"/>
          <w:lang w:val="uk-UA"/>
        </w:rPr>
        <w:t>Шевчук Наталії Анатоліївні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656EB1">
        <w:rPr>
          <w:rFonts w:ascii="Times New Roman" w:eastAsia="Times New Roman" w:hAnsi="Times New Roman" w:cs="Times New Roman"/>
          <w:sz w:val="24"/>
          <w:szCs w:val="24"/>
          <w:lang w:val="uk-UA"/>
        </w:rPr>
        <w:t>31</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656EB1">
        <w:rPr>
          <w:rFonts w:ascii="Times New Roman" w:eastAsia="Times New Roman" w:hAnsi="Times New Roman" w:cs="Times New Roman"/>
          <w:sz w:val="24"/>
          <w:szCs w:val="24"/>
          <w:lang w:val="uk-UA"/>
        </w:rPr>
        <w:t>60625</w:t>
      </w:r>
      <w:r w:rsidRPr="002F77D8">
        <w:rPr>
          <w:rFonts w:ascii="Times New Roman" w:eastAsia="Times New Roman" w:hAnsi="Times New Roman" w:cs="Times New Roman"/>
          <w:sz w:val="24"/>
          <w:szCs w:val="24"/>
          <w:lang w:val="uk-UA"/>
        </w:rPr>
        <w:t>;</w:t>
      </w:r>
    </w:p>
    <w:p w:rsidR="00F270A2" w:rsidRDefault="008A6D2E"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656EB1">
        <w:rPr>
          <w:rFonts w:ascii="Times New Roman" w:eastAsia="Times New Roman" w:hAnsi="Times New Roman" w:cs="Times New Roman"/>
          <w:b/>
          <w:bCs/>
          <w:sz w:val="24"/>
          <w:szCs w:val="24"/>
          <w:lang w:val="uk-UA"/>
        </w:rPr>
        <w:t>Буніну Дмитру Ігоровичу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656EB1">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656EB1">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bookmarkEnd w:id="0"/>
      <w:r w:rsidR="00656EB1">
        <w:rPr>
          <w:rFonts w:ascii="Times New Roman" w:eastAsia="Times New Roman" w:hAnsi="Times New Roman" w:cs="Times New Roman"/>
          <w:sz w:val="24"/>
          <w:szCs w:val="24"/>
          <w:lang w:val="uk-UA"/>
        </w:rPr>
        <w:t>60974.</w:t>
      </w:r>
    </w:p>
    <w:bookmarkEnd w:id="1"/>
    <w:p w:rsidR="00656EB1" w:rsidRDefault="00656EB1"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656EB1" w:rsidRPr="0061622E" w:rsidRDefault="00656EB1" w:rsidP="00656EB1">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656EB1">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11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 xml:space="preserve">про відмову в наданні компенсації за знищене  нерухоме майно шляхом </w:t>
      </w:r>
      <w:r w:rsidRPr="002F77D8">
        <w:rPr>
          <w:rFonts w:ascii="Times New Roman" w:eastAsia="Times New Roman" w:hAnsi="Times New Roman" w:cs="Times New Roman"/>
          <w:sz w:val="24"/>
          <w:szCs w:val="24"/>
          <w:lang w:val="uk-UA"/>
        </w:rPr>
        <w:lastRenderedPageBreak/>
        <w:t>фінансування придбання об'єктів житлової нерухомості з використанням житлових сертифікатів.</w:t>
      </w:r>
    </w:p>
    <w:p w:rsidR="00656EB1" w:rsidRPr="002F77D8" w:rsidRDefault="00656EB1" w:rsidP="00656EB1">
      <w:pPr>
        <w:numPr>
          <w:ilvl w:val="0"/>
          <w:numId w:val="5"/>
        </w:numPr>
        <w:tabs>
          <w:tab w:val="left" w:pos="993"/>
        </w:tabs>
        <w:spacing w:after="0" w:line="240" w:lineRule="auto"/>
        <w:ind w:left="142" w:firstLine="567"/>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656EB1" w:rsidRPr="002F77D8" w:rsidRDefault="00656EB1"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.1. </w:t>
      </w:r>
      <w:proofErr w:type="spellStart"/>
      <w:r w:rsidR="00B20B20">
        <w:rPr>
          <w:rFonts w:ascii="Times New Roman" w:eastAsia="Times New Roman" w:hAnsi="Times New Roman" w:cs="Times New Roman"/>
          <w:b/>
          <w:bCs/>
          <w:sz w:val="24"/>
          <w:szCs w:val="24"/>
          <w:lang w:val="uk-UA"/>
        </w:rPr>
        <w:t>Мартиросян</w:t>
      </w:r>
      <w:proofErr w:type="spellEnd"/>
      <w:r w:rsidR="00B20B20">
        <w:rPr>
          <w:rFonts w:ascii="Times New Roman" w:eastAsia="Times New Roman" w:hAnsi="Times New Roman" w:cs="Times New Roman"/>
          <w:b/>
          <w:bCs/>
          <w:sz w:val="24"/>
          <w:szCs w:val="24"/>
          <w:lang w:val="uk-UA"/>
        </w:rPr>
        <w:t xml:space="preserve"> </w:t>
      </w:r>
      <w:proofErr w:type="spellStart"/>
      <w:r w:rsidR="00B20B20">
        <w:rPr>
          <w:rFonts w:ascii="Times New Roman" w:eastAsia="Times New Roman" w:hAnsi="Times New Roman" w:cs="Times New Roman"/>
          <w:b/>
          <w:bCs/>
          <w:sz w:val="24"/>
          <w:szCs w:val="24"/>
          <w:lang w:val="uk-UA"/>
        </w:rPr>
        <w:t>Овсанні</w:t>
      </w:r>
      <w:proofErr w:type="spellEnd"/>
      <w:r w:rsidR="00B20B20">
        <w:rPr>
          <w:rFonts w:ascii="Times New Roman" w:eastAsia="Times New Roman" w:hAnsi="Times New Roman" w:cs="Times New Roman"/>
          <w:b/>
          <w:bCs/>
          <w:sz w:val="24"/>
          <w:szCs w:val="24"/>
          <w:lang w:val="uk-UA"/>
        </w:rPr>
        <w:t xml:space="preserve"> </w:t>
      </w:r>
      <w:proofErr w:type="spellStart"/>
      <w:r w:rsidR="00B20B20">
        <w:rPr>
          <w:rFonts w:ascii="Times New Roman" w:eastAsia="Times New Roman" w:hAnsi="Times New Roman" w:cs="Times New Roman"/>
          <w:b/>
          <w:bCs/>
          <w:sz w:val="24"/>
          <w:szCs w:val="24"/>
          <w:lang w:val="uk-UA"/>
        </w:rPr>
        <w:t>Меліксетівні</w:t>
      </w:r>
      <w:proofErr w:type="spellEnd"/>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B20B20">
        <w:rPr>
          <w:rFonts w:ascii="Times New Roman" w:eastAsia="Times New Roman" w:hAnsi="Times New Roman" w:cs="Times New Roman"/>
          <w:sz w:val="24"/>
          <w:szCs w:val="24"/>
          <w:lang w:val="uk-UA"/>
        </w:rPr>
        <w:t>02</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B20B20">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B20B20">
        <w:rPr>
          <w:rFonts w:ascii="Times New Roman" w:eastAsia="Times New Roman" w:hAnsi="Times New Roman" w:cs="Times New Roman"/>
          <w:sz w:val="24"/>
          <w:szCs w:val="24"/>
          <w:lang w:val="uk-UA"/>
        </w:rPr>
        <w:t>61254</w:t>
      </w:r>
      <w:r w:rsidRPr="002F77D8">
        <w:rPr>
          <w:rFonts w:ascii="Times New Roman" w:eastAsia="Times New Roman" w:hAnsi="Times New Roman" w:cs="Times New Roman"/>
          <w:sz w:val="24"/>
          <w:szCs w:val="24"/>
          <w:lang w:val="uk-UA"/>
        </w:rPr>
        <w:t>;</w:t>
      </w:r>
    </w:p>
    <w:p w:rsidR="00656EB1" w:rsidRPr="002F77D8" w:rsidRDefault="00656EB1" w:rsidP="00656EB1">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.2. </w:t>
      </w:r>
      <w:proofErr w:type="spellStart"/>
      <w:r w:rsidR="00B20B20">
        <w:rPr>
          <w:rFonts w:ascii="Times New Roman" w:eastAsia="Times New Roman" w:hAnsi="Times New Roman" w:cs="Times New Roman"/>
          <w:b/>
          <w:bCs/>
          <w:sz w:val="24"/>
          <w:szCs w:val="24"/>
          <w:lang w:val="uk-UA"/>
        </w:rPr>
        <w:t>Довєрову</w:t>
      </w:r>
      <w:proofErr w:type="spellEnd"/>
      <w:r w:rsidR="00B20B20">
        <w:rPr>
          <w:rFonts w:ascii="Times New Roman" w:eastAsia="Times New Roman" w:hAnsi="Times New Roman" w:cs="Times New Roman"/>
          <w:b/>
          <w:bCs/>
          <w:sz w:val="24"/>
          <w:szCs w:val="24"/>
          <w:lang w:val="uk-UA"/>
        </w:rPr>
        <w:t xml:space="preserve"> Роману Анатолійовичу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B20B20">
        <w:rPr>
          <w:rFonts w:ascii="Times New Roman" w:eastAsia="Times New Roman" w:hAnsi="Times New Roman" w:cs="Times New Roman"/>
          <w:sz w:val="24"/>
          <w:szCs w:val="24"/>
          <w:lang w:val="uk-UA"/>
        </w:rPr>
        <w:t>06</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B20B20">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B20B20">
        <w:rPr>
          <w:rFonts w:ascii="Times New Roman" w:eastAsia="Times New Roman" w:hAnsi="Times New Roman" w:cs="Times New Roman"/>
          <w:sz w:val="24"/>
          <w:szCs w:val="24"/>
          <w:lang w:val="uk-UA"/>
        </w:rPr>
        <w:t>2004</w:t>
      </w:r>
      <w:r w:rsidRPr="002F77D8">
        <w:rPr>
          <w:rFonts w:ascii="Times New Roman" w:eastAsia="Times New Roman" w:hAnsi="Times New Roman" w:cs="Times New Roman"/>
          <w:sz w:val="24"/>
          <w:szCs w:val="24"/>
          <w:lang w:val="uk-UA"/>
        </w:rPr>
        <w:t>;</w:t>
      </w:r>
    </w:p>
    <w:p w:rsidR="00656EB1" w:rsidRPr="002F77D8" w:rsidRDefault="00656EB1" w:rsidP="00B20B20">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.3. </w:t>
      </w:r>
      <w:proofErr w:type="spellStart"/>
      <w:r w:rsidR="00B20B20">
        <w:rPr>
          <w:rFonts w:ascii="Times New Roman" w:eastAsia="Times New Roman" w:hAnsi="Times New Roman" w:cs="Times New Roman"/>
          <w:b/>
          <w:bCs/>
          <w:sz w:val="24"/>
          <w:szCs w:val="24"/>
          <w:lang w:val="uk-UA"/>
        </w:rPr>
        <w:t>Блощук</w:t>
      </w:r>
      <w:proofErr w:type="spellEnd"/>
      <w:r w:rsidR="00B20B20">
        <w:rPr>
          <w:rFonts w:ascii="Times New Roman" w:eastAsia="Times New Roman" w:hAnsi="Times New Roman" w:cs="Times New Roman"/>
          <w:b/>
          <w:bCs/>
          <w:sz w:val="24"/>
          <w:szCs w:val="24"/>
          <w:lang w:val="uk-UA"/>
        </w:rPr>
        <w:t xml:space="preserve"> Ларисі Миколаївні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w:t>
      </w:r>
      <w:r w:rsidR="00B20B20">
        <w:rPr>
          <w:rFonts w:ascii="Times New Roman" w:eastAsia="Times New Roman" w:hAnsi="Times New Roman" w:cs="Times New Roman"/>
          <w:sz w:val="24"/>
          <w:szCs w:val="24"/>
          <w:lang w:val="uk-UA"/>
        </w:rPr>
        <w:t>6</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sidR="00B20B20">
        <w:rPr>
          <w:rFonts w:ascii="Times New Roman" w:eastAsia="Times New Roman" w:hAnsi="Times New Roman" w:cs="Times New Roman"/>
          <w:sz w:val="24"/>
          <w:szCs w:val="24"/>
          <w:lang w:val="uk-UA"/>
        </w:rPr>
        <w:t>61937</w:t>
      </w:r>
      <w:r>
        <w:rPr>
          <w:rFonts w:ascii="Times New Roman" w:eastAsia="Times New Roman" w:hAnsi="Times New Roman" w:cs="Times New Roman"/>
          <w:sz w:val="24"/>
          <w:szCs w:val="24"/>
          <w:lang w:val="uk-UA"/>
        </w:rPr>
        <w:t>.</w:t>
      </w:r>
    </w:p>
    <w:p w:rsidR="008A6D2E" w:rsidRPr="002F77D8" w:rsidRDefault="00F270A2"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F270A2"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19B5" w:rsidRDefault="00B619B5" w:rsidP="00E31D41">
      <w:pPr>
        <w:spacing w:after="0" w:line="240" w:lineRule="auto"/>
      </w:pPr>
      <w:r>
        <w:separator/>
      </w:r>
    </w:p>
  </w:endnote>
  <w:endnote w:type="continuationSeparator" w:id="0">
    <w:p w:rsidR="00B619B5" w:rsidRDefault="00B619B5"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19B5" w:rsidRDefault="00B619B5" w:rsidP="00E31D41">
      <w:pPr>
        <w:spacing w:after="0" w:line="240" w:lineRule="auto"/>
      </w:pPr>
      <w:r>
        <w:separator/>
      </w:r>
    </w:p>
  </w:footnote>
  <w:footnote w:type="continuationSeparator" w:id="0">
    <w:p w:rsidR="00B619B5" w:rsidRDefault="00B619B5"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0B20" w:rsidRPr="00B20B20" w:rsidRDefault="00B20B20" w:rsidP="00B20B20">
    <w:pPr>
      <w:pStyle w:val="aa"/>
      <w:rPr>
        <w:rFonts w:ascii="Times New Roman" w:hAnsi="Times New Roman" w:cs="Times New Roman"/>
        <w:sz w:val="26"/>
        <w:szCs w:val="26"/>
      </w:rP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706EE"/>
    <w:rsid w:val="00282681"/>
    <w:rsid w:val="0028337C"/>
    <w:rsid w:val="002B3A70"/>
    <w:rsid w:val="002F77D8"/>
    <w:rsid w:val="003017B0"/>
    <w:rsid w:val="003116A4"/>
    <w:rsid w:val="00395CC5"/>
    <w:rsid w:val="003C301A"/>
    <w:rsid w:val="004015F9"/>
    <w:rsid w:val="004701B0"/>
    <w:rsid w:val="004C007F"/>
    <w:rsid w:val="00514B63"/>
    <w:rsid w:val="00530044"/>
    <w:rsid w:val="00577937"/>
    <w:rsid w:val="005C1695"/>
    <w:rsid w:val="005D41CB"/>
    <w:rsid w:val="0061622E"/>
    <w:rsid w:val="00656EB1"/>
    <w:rsid w:val="0065769B"/>
    <w:rsid w:val="00662045"/>
    <w:rsid w:val="006D08BD"/>
    <w:rsid w:val="00730506"/>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20B20"/>
    <w:rsid w:val="00B619B5"/>
    <w:rsid w:val="00B95C40"/>
    <w:rsid w:val="00BD4D5F"/>
    <w:rsid w:val="00BE5882"/>
    <w:rsid w:val="00C27070"/>
    <w:rsid w:val="00C37874"/>
    <w:rsid w:val="00CA0972"/>
    <w:rsid w:val="00CB2841"/>
    <w:rsid w:val="00CB3179"/>
    <w:rsid w:val="00D141C7"/>
    <w:rsid w:val="00D359EA"/>
    <w:rsid w:val="00D36838"/>
    <w:rsid w:val="00D60EB7"/>
    <w:rsid w:val="00E31D41"/>
    <w:rsid w:val="00E57B9F"/>
    <w:rsid w:val="00EA2C91"/>
    <w:rsid w:val="00ED6EE0"/>
    <w:rsid w:val="00F13DE6"/>
    <w:rsid w:val="00F270A2"/>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B602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2146</TotalTime>
  <Pages>3</Pages>
  <Words>2678</Words>
  <Characters>1528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2023-12-05T14:54:00Z</cp:lastPrinted>
  <dcterms:created xsi:type="dcterms:W3CDTF">2023-06-15T13:23:00Z</dcterms:created>
  <dcterms:modified xsi:type="dcterms:W3CDTF">2023-12-05T14:55:00Z</dcterms:modified>
</cp:coreProperties>
</file>