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A1" w:rsidRPr="004A0F7F" w:rsidRDefault="00AC25A1" w:rsidP="00AC25A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Звіт про </w:t>
      </w:r>
      <w:r w:rsidR="0056239B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повторне</w:t>
      </w:r>
      <w:r w:rsidRPr="004A0F7F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відстеження результативності </w:t>
      </w:r>
    </w:p>
    <w:p w:rsidR="00AC25A1" w:rsidRPr="00522FF3" w:rsidRDefault="00AC25A1" w:rsidP="00AC25A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Рішення </w:t>
      </w:r>
      <w:proofErr w:type="spellStart"/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Бучанської</w:t>
      </w:r>
      <w:proofErr w:type="spellEnd"/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міської </w:t>
      </w:r>
      <w:r w:rsidRPr="000F4107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ради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Pr="00522FF3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встановлення ставок та пільг із сплати податку на нерухоме майно, відмінне від земельної ділянки на території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Бучанської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територіальної громади» </w:t>
      </w:r>
    </w:p>
    <w:p w:rsidR="00AC25A1" w:rsidRPr="00B4171C" w:rsidRDefault="00AC25A1" w:rsidP="00AC25A1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0F4107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1.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Вид та назва регуляторного акту</w:t>
      </w:r>
      <w:r w:rsidRPr="000F4107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AC25A1" w:rsidRPr="00AC25A1" w:rsidRDefault="00AC25A1" w:rsidP="00AC25A1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4171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Рішення </w:t>
      </w:r>
      <w:proofErr w:type="spellStart"/>
      <w:r w:rsidRPr="004A0F7F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93D01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міської ради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від 24.06.2021 № 1309-13-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VIII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«</w:t>
      </w:r>
      <w:r w:rsidRPr="00AC25A1">
        <w:rPr>
          <w:rFonts w:ascii="Times New Roman" w:hAnsi="Times New Roman"/>
          <w:bCs/>
          <w:sz w:val="24"/>
          <w:szCs w:val="24"/>
          <w:lang w:val="uk-UA"/>
        </w:rPr>
        <w:t xml:space="preserve">Про встановлення ставок та пільг із сплати податку на нерухоме майно, відмінне від земельної ділянки на території </w:t>
      </w:r>
      <w:proofErr w:type="spellStart"/>
      <w:r w:rsidRPr="00AC25A1">
        <w:rPr>
          <w:rFonts w:ascii="Times New Roman" w:hAnsi="Times New Roman"/>
          <w:bCs/>
          <w:sz w:val="24"/>
          <w:szCs w:val="24"/>
          <w:lang w:val="uk-UA"/>
        </w:rPr>
        <w:t>Бучанської</w:t>
      </w:r>
      <w:proofErr w:type="spellEnd"/>
      <w:r w:rsidRPr="00AC25A1">
        <w:rPr>
          <w:rFonts w:ascii="Times New Roman" w:hAnsi="Times New Roman"/>
          <w:bCs/>
          <w:sz w:val="24"/>
          <w:szCs w:val="24"/>
          <w:lang w:val="uk-UA"/>
        </w:rPr>
        <w:t xml:space="preserve"> територіальної громади»</w:t>
      </w:r>
      <w:r w:rsidR="00FB15C6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AC25A1" w:rsidRPr="00F13824" w:rsidRDefault="00AC25A1" w:rsidP="00AC25A1">
      <w:pPr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     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AC25A1" w:rsidRPr="004A0F7F" w:rsidRDefault="00AC25A1" w:rsidP="005220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Відділ </w:t>
      </w:r>
      <w:r w:rsidR="00804C0E">
        <w:rPr>
          <w:rFonts w:ascii="Times New Roman" w:hAnsi="Times New Roman"/>
          <w:sz w:val="24"/>
          <w:szCs w:val="24"/>
          <w:lang w:val="uk-UA" w:eastAsia="ru-RU"/>
        </w:rPr>
        <w:t>економічного</w:t>
      </w:r>
      <w:r w:rsidR="00522093">
        <w:rPr>
          <w:rFonts w:ascii="Times New Roman" w:hAnsi="Times New Roman"/>
          <w:sz w:val="24"/>
          <w:szCs w:val="24"/>
          <w:lang w:val="uk-UA" w:eastAsia="ru-RU"/>
        </w:rPr>
        <w:t xml:space="preserve"> розвитку, інвестицій </w:t>
      </w:r>
      <w:r w:rsidR="00522093" w:rsidRPr="00522093">
        <w:rPr>
          <w:rFonts w:ascii="Times New Roman" w:hAnsi="Times New Roman"/>
          <w:sz w:val="24"/>
          <w:szCs w:val="24"/>
          <w:lang w:val="uk-UA" w:eastAsia="ru-RU"/>
        </w:rPr>
        <w:t>та цифрової транс</w:t>
      </w:r>
      <w:r w:rsidR="00522093">
        <w:rPr>
          <w:rFonts w:ascii="Times New Roman" w:hAnsi="Times New Roman"/>
          <w:sz w:val="24"/>
          <w:szCs w:val="24"/>
          <w:lang w:val="uk-UA" w:eastAsia="ru-RU"/>
        </w:rPr>
        <w:t xml:space="preserve">формації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</w:t>
      </w:r>
      <w:r w:rsidR="00FB15C6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AC25A1" w:rsidRPr="004A0F7F" w:rsidRDefault="00AC25A1" w:rsidP="00AC25A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3.  Цілі прийняття акту</w:t>
      </w:r>
      <w:r w:rsidRPr="00F13824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AC25A1" w:rsidRPr="000F4107" w:rsidRDefault="00AC25A1" w:rsidP="00AC25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val="uk-UA"/>
        </w:rPr>
      </w:pPr>
      <w:r w:rsidRPr="000F4107">
        <w:rPr>
          <w:rFonts w:ascii="Times New Roman" w:hAnsi="Times New Roman"/>
          <w:lang w:val="uk-UA"/>
        </w:rPr>
        <w:t xml:space="preserve">дотримання вимог Податкового кодексу в частині встановлення </w:t>
      </w:r>
      <w:r>
        <w:rPr>
          <w:rFonts w:ascii="Times New Roman" w:hAnsi="Times New Roman"/>
          <w:lang w:val="uk-UA"/>
        </w:rPr>
        <w:t xml:space="preserve">податку на нерухоме майно, відмінне від земельної ділянки, як </w:t>
      </w:r>
      <w:proofErr w:type="spellStart"/>
      <w:r>
        <w:rPr>
          <w:rFonts w:ascii="Times New Roman" w:hAnsi="Times New Roman"/>
          <w:lang w:val="uk-UA"/>
        </w:rPr>
        <w:t>обов</w:t>
      </w:r>
      <w:proofErr w:type="spellEnd"/>
      <w:r w:rsidRPr="00AC25A1">
        <w:rPr>
          <w:rFonts w:ascii="Times New Roman" w:hAnsi="Times New Roman"/>
        </w:rPr>
        <w:t>’</w:t>
      </w:r>
      <w:proofErr w:type="spellStart"/>
      <w:r>
        <w:rPr>
          <w:rFonts w:ascii="Times New Roman" w:hAnsi="Times New Roman"/>
          <w:lang w:val="uk-UA"/>
        </w:rPr>
        <w:t>язкового</w:t>
      </w:r>
      <w:proofErr w:type="spellEnd"/>
      <w:r>
        <w:rPr>
          <w:rFonts w:ascii="Times New Roman" w:hAnsi="Times New Roman"/>
          <w:lang w:val="uk-UA"/>
        </w:rPr>
        <w:t xml:space="preserve"> податку; </w:t>
      </w:r>
    </w:p>
    <w:p w:rsidR="00AC25A1" w:rsidRPr="000F4107" w:rsidRDefault="00AC25A1" w:rsidP="00AC25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val="uk-UA"/>
        </w:rPr>
      </w:pPr>
      <w:r w:rsidRPr="000F4107">
        <w:rPr>
          <w:rFonts w:ascii="Times New Roman" w:hAnsi="Times New Roman"/>
          <w:lang w:val="uk-UA"/>
        </w:rPr>
        <w:t>збільшення доходної частини</w:t>
      </w:r>
      <w:r>
        <w:rPr>
          <w:rFonts w:ascii="Times New Roman" w:hAnsi="Times New Roman"/>
          <w:lang w:val="uk-UA"/>
        </w:rPr>
        <w:t>,</w:t>
      </w:r>
      <w:r w:rsidRPr="000F4107">
        <w:rPr>
          <w:rFonts w:ascii="Times New Roman" w:hAnsi="Times New Roman"/>
          <w:lang w:val="uk-UA"/>
        </w:rPr>
        <w:t xml:space="preserve"> отримання до місцевого бюджету </w:t>
      </w:r>
      <w:proofErr w:type="spellStart"/>
      <w:r>
        <w:rPr>
          <w:rFonts w:ascii="Times New Roman" w:hAnsi="Times New Roman"/>
          <w:lang w:val="uk-UA"/>
        </w:rPr>
        <w:t>Бучанської</w:t>
      </w:r>
      <w:proofErr w:type="spellEnd"/>
      <w:r>
        <w:rPr>
          <w:rFonts w:ascii="Times New Roman" w:hAnsi="Times New Roman"/>
          <w:lang w:val="uk-UA"/>
        </w:rPr>
        <w:t xml:space="preserve"> міської територіальної громади</w:t>
      </w:r>
      <w:r w:rsidRPr="000F4107">
        <w:rPr>
          <w:rFonts w:ascii="Times New Roman" w:hAnsi="Times New Roman"/>
          <w:lang w:val="uk-UA"/>
        </w:rPr>
        <w:t xml:space="preserve"> відповідних надходжень;</w:t>
      </w:r>
    </w:p>
    <w:p w:rsidR="00AC25A1" w:rsidRDefault="00AC25A1" w:rsidP="00AC25A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підтримка та розвиток малого та середнього бізнесу</w:t>
      </w:r>
      <w:r w:rsidRPr="000F4107">
        <w:rPr>
          <w:rFonts w:ascii="Times New Roman" w:hAnsi="Times New Roman"/>
          <w:lang w:val="uk-UA"/>
        </w:rPr>
        <w:t>;</w:t>
      </w:r>
    </w:p>
    <w:p w:rsidR="00AC25A1" w:rsidRPr="000F4107" w:rsidRDefault="00AC25A1" w:rsidP="00AC25A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регулювання ситуації на ринку житла;</w:t>
      </w:r>
    </w:p>
    <w:p w:rsidR="00AC25A1" w:rsidRPr="000F4107" w:rsidRDefault="00AC25A1" w:rsidP="00AC25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дотримання принципів державної регуляторної політики.</w:t>
      </w:r>
    </w:p>
    <w:p w:rsidR="00AC25A1" w:rsidRPr="004A0F7F" w:rsidRDefault="00AC25A1" w:rsidP="00AC25A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заходів з відстеження результативності</w:t>
      </w:r>
      <w:r>
        <w:rPr>
          <w:rFonts w:ascii="Times New Roman" w:hAnsi="Times New Roman"/>
          <w:i/>
          <w:iCs/>
          <w:sz w:val="24"/>
          <w:szCs w:val="24"/>
          <w:lang w:val="uk-UA" w:eastAsia="ru-RU"/>
        </w:rPr>
        <w:t>:</w:t>
      </w:r>
    </w:p>
    <w:p w:rsidR="00AC25A1" w:rsidRDefault="00AC25A1" w:rsidP="00AC25A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>з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01.11.22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по </w:t>
      </w:r>
      <w:r w:rsidR="00E21C77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>.12.22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</w:p>
    <w:p w:rsidR="00AC25A1" w:rsidRPr="004A0F7F" w:rsidRDefault="00AC25A1" w:rsidP="00AC25A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AC25A1" w:rsidRPr="004A0F7F" w:rsidRDefault="0056239B" w:rsidP="00AC25A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Повторне</w:t>
      </w:r>
      <w:r w:rsidR="00AC25A1" w:rsidRPr="004A0F7F">
        <w:rPr>
          <w:rFonts w:ascii="Times New Roman" w:hAnsi="Times New Roman"/>
          <w:sz w:val="24"/>
          <w:szCs w:val="24"/>
          <w:lang w:val="uk-UA" w:eastAsia="ru-RU"/>
        </w:rPr>
        <w:t xml:space="preserve"> відстеження</w:t>
      </w:r>
      <w:r w:rsidR="0022397A">
        <w:rPr>
          <w:rFonts w:ascii="Times New Roman" w:hAnsi="Times New Roman"/>
          <w:sz w:val="24"/>
          <w:szCs w:val="24"/>
          <w:lang w:val="uk-UA" w:eastAsia="ru-RU"/>
        </w:rPr>
        <w:t xml:space="preserve"> з 01.01.2022 по 0</w:t>
      </w:r>
      <w:r w:rsidR="00E21C77">
        <w:rPr>
          <w:rFonts w:ascii="Times New Roman" w:hAnsi="Times New Roman"/>
          <w:sz w:val="24"/>
          <w:szCs w:val="24"/>
          <w:lang w:val="uk-UA" w:eastAsia="ru-RU"/>
        </w:rPr>
        <w:t>1.1</w:t>
      </w:r>
      <w:r w:rsidR="0022397A">
        <w:rPr>
          <w:rFonts w:ascii="Times New Roman" w:hAnsi="Times New Roman"/>
          <w:sz w:val="24"/>
          <w:szCs w:val="24"/>
          <w:lang w:val="uk-UA" w:eastAsia="ru-RU"/>
        </w:rPr>
        <w:t>1</w:t>
      </w:r>
      <w:r w:rsidR="00AC25A1">
        <w:rPr>
          <w:rFonts w:ascii="Times New Roman" w:hAnsi="Times New Roman"/>
          <w:sz w:val="24"/>
          <w:szCs w:val="24"/>
          <w:lang w:val="uk-UA" w:eastAsia="ru-RU"/>
        </w:rPr>
        <w:t>.2022</w:t>
      </w:r>
    </w:p>
    <w:p w:rsidR="00AC25A1" w:rsidRPr="004A0F7F" w:rsidRDefault="00AC25A1" w:rsidP="00AC25A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AC25A1" w:rsidRPr="004A0F7F" w:rsidRDefault="00AC25A1" w:rsidP="0022397A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</w:t>
      </w:r>
      <w:r w:rsidR="00E21C77">
        <w:rPr>
          <w:rFonts w:ascii="Times New Roman" w:hAnsi="Times New Roman"/>
          <w:sz w:val="24"/>
          <w:szCs w:val="24"/>
          <w:lang w:val="uk-UA" w:eastAsia="ru-RU"/>
        </w:rPr>
        <w:t>повторного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відстеження використовувався статистичний метод одержання результатів відстеження. </w:t>
      </w:r>
    </w:p>
    <w:p w:rsidR="00AC25A1" w:rsidRPr="004A0F7F" w:rsidRDefault="00AC25A1" w:rsidP="0022397A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     а також способи одержання дани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AC25A1" w:rsidRDefault="00AC25A1" w:rsidP="00AC25A1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</w:t>
      </w:r>
      <w:r w:rsidR="00E21C77">
        <w:rPr>
          <w:rFonts w:ascii="Times New Roman" w:hAnsi="Times New Roman"/>
          <w:sz w:val="24"/>
          <w:szCs w:val="24"/>
          <w:lang w:val="uk-UA" w:eastAsia="ru-RU"/>
        </w:rPr>
        <w:t>повторного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відстеження результативності даного регуляторного </w:t>
      </w:r>
      <w:proofErr w:type="spellStart"/>
      <w:r w:rsidRPr="004A0F7F">
        <w:rPr>
          <w:rFonts w:ascii="Times New Roman" w:hAnsi="Times New Roman"/>
          <w:sz w:val="24"/>
          <w:szCs w:val="24"/>
          <w:lang w:val="uk-UA" w:eastAsia="ru-RU"/>
        </w:rPr>
        <w:t>акта</w:t>
      </w:r>
      <w:proofErr w:type="spellEnd"/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були визначені такі статистичні показники результативності:</w:t>
      </w:r>
    </w:p>
    <w:p w:rsidR="00AC25A1" w:rsidRPr="00677B4B" w:rsidRDefault="00AC25A1" w:rsidP="00AC25A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hAnsi="Times New Roman"/>
          <w:sz w:val="24"/>
          <w:szCs w:val="24"/>
          <w:lang w:val="uk-UA" w:eastAsia="ru-RU"/>
        </w:rPr>
        <w:t xml:space="preserve">кількість зареєстрованих платників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податку на нерухоме майно, відмінне від земельної ділянки на території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</w:t>
      </w:r>
      <w:r w:rsidRPr="00677B4B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AC25A1" w:rsidRPr="00677B4B" w:rsidRDefault="00AC25A1" w:rsidP="00AC25A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hAnsi="Times New Roman"/>
          <w:sz w:val="24"/>
          <w:szCs w:val="24"/>
          <w:lang w:val="uk-UA" w:eastAsia="ru-RU"/>
        </w:rPr>
        <w:t xml:space="preserve">сума надходжень до бюджету від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сплати податку на нерухоме майно, відмінне від земельної ділянки на території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громади.</w:t>
      </w:r>
    </w:p>
    <w:p w:rsidR="00FB15C6" w:rsidRDefault="00FB15C6">
      <w:pPr>
        <w:spacing w:after="160" w:line="259" w:lineRule="auto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br w:type="page"/>
      </w:r>
    </w:p>
    <w:p w:rsidR="00AC25A1" w:rsidRPr="006F4672" w:rsidRDefault="00AC25A1" w:rsidP="00AC25A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lastRenderedPageBreak/>
        <w:t>8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Кількісні та якісні значення показників результативност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і:</w:t>
      </w:r>
    </w:p>
    <w:tbl>
      <w:tblPr>
        <w:tblW w:w="9820" w:type="dxa"/>
        <w:tblLayout w:type="fixed"/>
        <w:tblLook w:val="04A0" w:firstRow="1" w:lastRow="0" w:firstColumn="1" w:lastColumn="0" w:noHBand="0" w:noVBand="1"/>
      </w:tblPr>
      <w:tblGrid>
        <w:gridCol w:w="560"/>
        <w:gridCol w:w="791"/>
        <w:gridCol w:w="3459"/>
        <w:gridCol w:w="1276"/>
        <w:gridCol w:w="1134"/>
        <w:gridCol w:w="1275"/>
        <w:gridCol w:w="1325"/>
      </w:tblGrid>
      <w:tr w:rsidR="0068598E" w:rsidRPr="00073000" w:rsidTr="00153BCE">
        <w:trPr>
          <w:trHeight w:val="18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000" w:rsidRPr="00073000" w:rsidRDefault="00073000" w:rsidP="00073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7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73000" w:rsidRPr="00073000" w:rsidRDefault="00073000" w:rsidP="00073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Код бюджетної класифікації</w:t>
            </w:r>
          </w:p>
        </w:tc>
        <w:tc>
          <w:tcPr>
            <w:tcW w:w="345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000" w:rsidRPr="00073000" w:rsidRDefault="00073000" w:rsidP="00073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Показники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73000" w:rsidRDefault="00073000" w:rsidP="00C906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2021</w:t>
            </w:r>
          </w:p>
          <w:p w:rsidR="00157473" w:rsidRPr="00157473" w:rsidRDefault="00157473" w:rsidP="00153B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5747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(станом на </w:t>
            </w:r>
            <w:r w:rsidR="00153BC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01</w:t>
            </w:r>
            <w:r w:rsidRPr="0015747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="00153BC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21</w:t>
            </w:r>
            <w:r w:rsidRPr="0015747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73000" w:rsidRPr="00073000" w:rsidRDefault="00073000" w:rsidP="00153B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2022</w:t>
            </w:r>
            <w:r w:rsidR="001574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06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 </w:t>
            </w:r>
            <w:r w:rsidR="00157473" w:rsidRPr="0015747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(станом на </w:t>
            </w:r>
            <w:r w:rsidR="00153BC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01</w:t>
            </w:r>
            <w:r w:rsidR="00157473" w:rsidRPr="0015747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="00153BC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11</w:t>
            </w:r>
            <w:r w:rsidR="00157473" w:rsidRPr="0015747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.22)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73000" w:rsidRPr="00C9061C" w:rsidRDefault="00C9061C" w:rsidP="00C906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9061C">
              <w:rPr>
                <w:rFonts w:ascii="Times New Roman" w:hAnsi="Times New Roman"/>
                <w:b/>
                <w:bCs/>
                <w:color w:val="000000"/>
                <w:sz w:val="24"/>
                <w:lang w:val="uk-UA" w:eastAsia="uk-UA"/>
              </w:rPr>
              <w:t>Відхилення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000" w:rsidRPr="00073000" w:rsidRDefault="00157473" w:rsidP="00C906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uk-UA" w:eastAsia="uk-UA"/>
              </w:rPr>
              <w:t xml:space="preserve">Відповідний період </w:t>
            </w:r>
            <w:r w:rsidR="00007239">
              <w:rPr>
                <w:rFonts w:ascii="Times New Roman" w:hAnsi="Times New Roman"/>
                <w:b/>
                <w:bCs/>
                <w:color w:val="000000"/>
                <w:sz w:val="24"/>
                <w:lang w:val="uk-UA" w:eastAsia="uk-UA"/>
              </w:rPr>
              <w:t>2022</w:t>
            </w:r>
            <w:r w:rsidR="00073000" w:rsidRPr="00073000">
              <w:rPr>
                <w:rFonts w:ascii="Times New Roman" w:hAnsi="Times New Roman"/>
                <w:b/>
                <w:bCs/>
                <w:color w:val="000000"/>
                <w:sz w:val="24"/>
                <w:lang w:eastAsia="uk-UA"/>
              </w:rPr>
              <w:t xml:space="preserve"> до 2021 року, %</w:t>
            </w:r>
          </w:p>
        </w:tc>
      </w:tr>
      <w:tr w:rsidR="0068598E" w:rsidRPr="00073000" w:rsidTr="00153BCE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000" w:rsidRPr="00073000" w:rsidRDefault="00073000" w:rsidP="00073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3000" w:rsidRPr="00073000" w:rsidRDefault="00073000" w:rsidP="000730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5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000" w:rsidRPr="00073000" w:rsidRDefault="00073000" w:rsidP="000730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3000" w:rsidRPr="00073000" w:rsidRDefault="00073000" w:rsidP="000730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3000" w:rsidRPr="00073000" w:rsidRDefault="00073000" w:rsidP="000730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3000" w:rsidRPr="00073000" w:rsidRDefault="00073000" w:rsidP="000730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000" w:rsidRPr="00073000" w:rsidRDefault="00073000" w:rsidP="000730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51B64" w:rsidRPr="00073000" w:rsidTr="00E51B64">
        <w:trPr>
          <w:trHeight w:val="71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18010100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платників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податку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нерухоме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майно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відмінне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земельної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ділянки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сплачений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юридичними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особами,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є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власниками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об`єктів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житлової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нерухомості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B64" w:rsidRPr="00153BCE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64"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64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</w:tr>
      <w:tr w:rsidR="00E51B64" w:rsidRPr="00073000" w:rsidTr="00E51B64">
        <w:trPr>
          <w:trHeight w:val="52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Сума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надходжень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 бюджету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податку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нерухоме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майно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відмінне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земельної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ділянки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сплачений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юридичними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особами,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є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власниками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об`єктів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житлової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нерухомості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тис. 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B64" w:rsidRPr="00153BCE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E">
              <w:rPr>
                <w:rFonts w:ascii="Times New Roman" w:hAnsi="Times New Roman"/>
                <w:sz w:val="24"/>
                <w:szCs w:val="24"/>
              </w:rPr>
              <w:t>388,63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64">
              <w:rPr>
                <w:rFonts w:ascii="Times New Roman" w:hAnsi="Times New Roman"/>
                <w:sz w:val="24"/>
                <w:szCs w:val="24"/>
              </w:rPr>
              <w:t>-227,07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64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E51B64" w:rsidRPr="00073000" w:rsidTr="00E51B64">
        <w:trPr>
          <w:trHeight w:val="52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18010200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Кількість платників податку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B64" w:rsidRPr="00153BCE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E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64">
              <w:rPr>
                <w:rFonts w:ascii="Times New Roman" w:hAnsi="Times New Roman"/>
                <w:sz w:val="24"/>
                <w:szCs w:val="24"/>
              </w:rPr>
              <w:t>-1775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64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E51B64" w:rsidRPr="00073000" w:rsidTr="00E51B64">
        <w:trPr>
          <w:trHeight w:val="59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Сума надходжень до бюджету від податку на нерухоме майно, відмінне від земельної ділянки, сплачений фізичними особами, які є власниками об`єктів житлової нерухомості, тис. 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B64" w:rsidRPr="00153BCE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E">
              <w:rPr>
                <w:rFonts w:ascii="Times New Roman" w:hAnsi="Times New Roman"/>
                <w:sz w:val="24"/>
                <w:szCs w:val="24"/>
              </w:rPr>
              <w:t>4084,85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64">
              <w:rPr>
                <w:rFonts w:ascii="Times New Roman" w:hAnsi="Times New Roman"/>
                <w:sz w:val="24"/>
                <w:szCs w:val="24"/>
              </w:rPr>
              <w:t>-3584,86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64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E51B64" w:rsidRPr="00073000" w:rsidTr="00E51B64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18010300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Кількість платників податку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B64" w:rsidRPr="00153BCE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64">
              <w:rPr>
                <w:rFonts w:ascii="Times New Roman" w:hAnsi="Times New Roman"/>
                <w:sz w:val="24"/>
                <w:szCs w:val="24"/>
              </w:rPr>
              <w:t>-317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64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E51B64" w:rsidRPr="00073000" w:rsidTr="00E51B64">
        <w:trPr>
          <w:trHeight w:val="220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Сума надходжень до бюджету від податку на нерухоме майно, відмінне від земельної ділянки, сплачений фізичними особами, які є власниками об`єктів нежитлової нерухомості, тис. 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B64" w:rsidRPr="00153BCE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E">
              <w:rPr>
                <w:rFonts w:ascii="Times New Roman" w:hAnsi="Times New Roman"/>
                <w:sz w:val="24"/>
                <w:szCs w:val="24"/>
              </w:rPr>
              <w:t>1302,72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64">
              <w:rPr>
                <w:rFonts w:ascii="Times New Roman" w:hAnsi="Times New Roman"/>
                <w:sz w:val="24"/>
                <w:szCs w:val="24"/>
              </w:rPr>
              <w:t>-1050,34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64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</w:tr>
      <w:tr w:rsidR="00E51B64" w:rsidRPr="00073000" w:rsidTr="00E51B64">
        <w:trPr>
          <w:trHeight w:val="19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18010400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платників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податку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нерухоме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майно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відмінне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земельної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ділянки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сплачений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юридичними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особами,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є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власниками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об`єктів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нежитлової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нерухомості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B64" w:rsidRPr="00153BCE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64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64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  <w:tr w:rsidR="00E51B64" w:rsidRPr="00073000" w:rsidTr="00E51B64">
        <w:trPr>
          <w:trHeight w:val="16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B64" w:rsidRPr="00073000" w:rsidRDefault="00E51B64" w:rsidP="00E51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Сума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надходжень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 бюджету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податку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нерухоме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майно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відмінне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земельної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ділянки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сплачений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юридичними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особами,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є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власниками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об`єктів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нежитлової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нерухомості</w:t>
            </w:r>
            <w:proofErr w:type="spellEnd"/>
            <w:r w:rsidRPr="000730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тис. 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B64" w:rsidRPr="00153BCE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BCE">
              <w:rPr>
                <w:rFonts w:ascii="Times New Roman" w:hAnsi="Times New Roman"/>
                <w:sz w:val="24"/>
                <w:szCs w:val="24"/>
              </w:rPr>
              <w:t>9759,56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8637,93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64">
              <w:rPr>
                <w:rFonts w:ascii="Times New Roman" w:hAnsi="Times New Roman"/>
                <w:sz w:val="24"/>
                <w:szCs w:val="24"/>
              </w:rPr>
              <w:t>-1121,63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B64" w:rsidRPr="00E51B64" w:rsidRDefault="00E51B64" w:rsidP="00E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64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</w:tr>
    </w:tbl>
    <w:p w:rsidR="00073000" w:rsidRDefault="00073000" w:rsidP="0007300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</w:p>
    <w:p w:rsidR="00AC25A1" w:rsidRPr="004A0F7F" w:rsidRDefault="00AC25A1" w:rsidP="00AC25A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9.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Оцінка результат</w:t>
      </w:r>
      <w:r w:rsidR="00011817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ів реалізації регуляторного акту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та ступеня досягнення визначених ціле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й: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  </w:t>
      </w:r>
    </w:p>
    <w:p w:rsidR="00720A2B" w:rsidRPr="00A61D74" w:rsidRDefault="005C4122" w:rsidP="007E3F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Прийняте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рішення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від </w:t>
      </w:r>
      <w:r w:rsidR="00FB15C6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24.06.2021 № 1309-13-</w:t>
      </w:r>
      <w:r w:rsidR="00FB15C6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VIII</w:t>
      </w:r>
      <w:r w:rsidR="00FB15C6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«</w:t>
      </w:r>
      <w:r w:rsidR="00FB15C6" w:rsidRPr="00AC25A1">
        <w:rPr>
          <w:rFonts w:ascii="Times New Roman" w:hAnsi="Times New Roman"/>
          <w:bCs/>
          <w:sz w:val="24"/>
          <w:szCs w:val="24"/>
          <w:lang w:val="uk-UA"/>
        </w:rPr>
        <w:t xml:space="preserve">Про встановлення ставок та пільг із сплати податку на нерухоме майно, відмінне від земельної ділянки на території </w:t>
      </w:r>
      <w:proofErr w:type="spellStart"/>
      <w:r w:rsidR="00FB15C6" w:rsidRPr="00AC25A1">
        <w:rPr>
          <w:rFonts w:ascii="Times New Roman" w:hAnsi="Times New Roman"/>
          <w:bCs/>
          <w:sz w:val="24"/>
          <w:szCs w:val="24"/>
          <w:lang w:val="uk-UA"/>
        </w:rPr>
        <w:t>Бучанської</w:t>
      </w:r>
      <w:proofErr w:type="spellEnd"/>
      <w:r w:rsidR="00FB15C6" w:rsidRPr="00AC25A1">
        <w:rPr>
          <w:rFonts w:ascii="Times New Roman" w:hAnsi="Times New Roman"/>
          <w:bCs/>
          <w:sz w:val="24"/>
          <w:szCs w:val="24"/>
          <w:lang w:val="uk-UA"/>
        </w:rPr>
        <w:t xml:space="preserve"> територіальної громади»</w:t>
      </w:r>
      <w:r w:rsidR="000D3926">
        <w:rPr>
          <w:rFonts w:ascii="Times New Roman" w:hAnsi="Times New Roman"/>
          <w:bCs/>
          <w:sz w:val="24"/>
          <w:szCs w:val="24"/>
          <w:lang w:val="uk-UA"/>
        </w:rPr>
        <w:t>,</w:t>
      </w:r>
      <w:r w:rsidR="00FB15C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D3926">
        <w:rPr>
          <w:rFonts w:ascii="Times New Roman" w:hAnsi="Times New Roman"/>
          <w:sz w:val="24"/>
          <w:szCs w:val="24"/>
          <w:lang w:val="uk-UA" w:eastAsia="ru-RU"/>
        </w:rPr>
        <w:t xml:space="preserve">регуляторний акт розроблений згідно з нормами чинного законодавства України. З ухваленням цього регуляторного акту створені умови для використання </w:t>
      </w:r>
      <w:r w:rsidR="007B28CD">
        <w:rPr>
          <w:rFonts w:ascii="Times New Roman" w:hAnsi="Times New Roman"/>
          <w:sz w:val="24"/>
          <w:szCs w:val="24"/>
          <w:lang w:val="uk-UA" w:eastAsia="ru-RU"/>
        </w:rPr>
        <w:t>фінансового</w:t>
      </w:r>
      <w:r w:rsidR="000D3926">
        <w:rPr>
          <w:rFonts w:ascii="Times New Roman" w:hAnsi="Times New Roman"/>
          <w:sz w:val="24"/>
          <w:szCs w:val="24"/>
          <w:lang w:val="uk-UA" w:eastAsia="ru-RU"/>
        </w:rPr>
        <w:t xml:space="preserve"> ресурсу в інтересах </w:t>
      </w:r>
      <w:proofErr w:type="spellStart"/>
      <w:r w:rsidR="000D3926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="000D3926"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громади. Установлення розмірів ставок </w:t>
      </w:r>
      <w:r w:rsidR="007B28CD">
        <w:rPr>
          <w:rFonts w:ascii="Times New Roman" w:hAnsi="Times New Roman"/>
          <w:sz w:val="24"/>
          <w:szCs w:val="24"/>
          <w:lang w:val="uk-UA" w:eastAsia="ru-RU"/>
        </w:rPr>
        <w:t xml:space="preserve">та пільг </w:t>
      </w:r>
      <w:r w:rsidR="000D3926">
        <w:rPr>
          <w:rFonts w:ascii="Times New Roman" w:hAnsi="Times New Roman"/>
          <w:sz w:val="24"/>
          <w:szCs w:val="24"/>
          <w:lang w:val="uk-UA" w:eastAsia="ru-RU"/>
        </w:rPr>
        <w:t>враховує вимоги чинного законодавства України</w:t>
      </w:r>
      <w:r w:rsidR="00BE62B9">
        <w:rPr>
          <w:rFonts w:ascii="Times New Roman" w:hAnsi="Times New Roman"/>
          <w:sz w:val="24"/>
          <w:szCs w:val="24"/>
          <w:lang w:val="uk-UA" w:eastAsia="ru-RU"/>
        </w:rPr>
        <w:t>.</w:t>
      </w:r>
      <w:r w:rsidR="007436E2">
        <w:rPr>
          <w:rFonts w:ascii="Times New Roman" w:hAnsi="Times New Roman"/>
          <w:sz w:val="24"/>
          <w:szCs w:val="24"/>
          <w:lang w:val="uk-UA" w:eastAsia="ru-RU"/>
        </w:rPr>
        <w:t xml:space="preserve"> Таким чином, </w:t>
      </w:r>
      <w:proofErr w:type="spellStart"/>
      <w:r w:rsidR="00720A2B">
        <w:rPr>
          <w:rFonts w:ascii="Times New Roman" w:hAnsi="Times New Roman"/>
          <w:sz w:val="24"/>
          <w:szCs w:val="24"/>
          <w:lang w:eastAsia="ru-RU"/>
        </w:rPr>
        <w:t>п</w:t>
      </w:r>
      <w:r w:rsidR="00720A2B" w:rsidRPr="00A61D74">
        <w:rPr>
          <w:rFonts w:ascii="Times New Roman" w:hAnsi="Times New Roman"/>
          <w:sz w:val="24"/>
          <w:szCs w:val="24"/>
          <w:lang w:eastAsia="ru-RU"/>
        </w:rPr>
        <w:t>рийняття</w:t>
      </w:r>
      <w:proofErr w:type="spellEnd"/>
      <w:r w:rsidR="00720A2B" w:rsidRPr="00A61D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0A2B" w:rsidRPr="00A61D74">
        <w:rPr>
          <w:rFonts w:ascii="Times New Roman" w:hAnsi="Times New Roman"/>
          <w:sz w:val="24"/>
          <w:szCs w:val="24"/>
          <w:lang w:eastAsia="ru-RU"/>
        </w:rPr>
        <w:t>даного</w:t>
      </w:r>
      <w:proofErr w:type="spellEnd"/>
      <w:r w:rsidR="00720A2B" w:rsidRPr="00A61D74">
        <w:rPr>
          <w:rFonts w:ascii="Times New Roman" w:hAnsi="Times New Roman"/>
          <w:sz w:val="24"/>
          <w:szCs w:val="24"/>
          <w:lang w:eastAsia="ru-RU"/>
        </w:rPr>
        <w:t xml:space="preserve"> регуляторного акту </w:t>
      </w:r>
      <w:proofErr w:type="spellStart"/>
      <w:r w:rsidR="00720A2B" w:rsidRPr="00A61D74">
        <w:rPr>
          <w:rFonts w:ascii="Times New Roman" w:hAnsi="Times New Roman"/>
          <w:sz w:val="24"/>
          <w:szCs w:val="24"/>
          <w:lang w:eastAsia="ru-RU"/>
        </w:rPr>
        <w:t>забезпечило</w:t>
      </w:r>
      <w:proofErr w:type="spellEnd"/>
      <w:r w:rsidR="00720A2B" w:rsidRPr="00A61D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0A2B" w:rsidRPr="00A61D74">
        <w:rPr>
          <w:rFonts w:ascii="Times New Roman" w:hAnsi="Times New Roman"/>
          <w:sz w:val="24"/>
          <w:szCs w:val="24"/>
          <w:lang w:eastAsia="ru-RU"/>
        </w:rPr>
        <w:t>досягнення</w:t>
      </w:r>
      <w:proofErr w:type="spellEnd"/>
      <w:r w:rsidR="00720A2B" w:rsidRPr="00A61D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0A2B" w:rsidRPr="00A61D74">
        <w:rPr>
          <w:rFonts w:ascii="Times New Roman" w:hAnsi="Times New Roman"/>
          <w:sz w:val="24"/>
          <w:szCs w:val="24"/>
          <w:lang w:eastAsia="ru-RU"/>
        </w:rPr>
        <w:t>цілей</w:t>
      </w:r>
      <w:proofErr w:type="spellEnd"/>
      <w:r w:rsidR="00720A2B" w:rsidRPr="00A61D7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720A2B" w:rsidRPr="00A61D74">
        <w:rPr>
          <w:rFonts w:ascii="Times New Roman" w:hAnsi="Times New Roman"/>
          <w:sz w:val="24"/>
          <w:szCs w:val="24"/>
          <w:lang w:eastAsia="ru-RU"/>
        </w:rPr>
        <w:t>визначених</w:t>
      </w:r>
      <w:proofErr w:type="spellEnd"/>
      <w:r w:rsidR="00720A2B" w:rsidRPr="00A61D74">
        <w:rPr>
          <w:rFonts w:ascii="Times New Roman" w:hAnsi="Times New Roman"/>
          <w:sz w:val="24"/>
          <w:szCs w:val="24"/>
          <w:lang w:eastAsia="ru-RU"/>
        </w:rPr>
        <w:t xml:space="preserve"> при </w:t>
      </w:r>
      <w:proofErr w:type="spellStart"/>
      <w:r w:rsidR="00720A2B" w:rsidRPr="00A61D74">
        <w:rPr>
          <w:rFonts w:ascii="Times New Roman" w:hAnsi="Times New Roman"/>
          <w:sz w:val="24"/>
          <w:szCs w:val="24"/>
          <w:lang w:eastAsia="ru-RU"/>
        </w:rPr>
        <w:t>його</w:t>
      </w:r>
      <w:proofErr w:type="spellEnd"/>
      <w:r w:rsidR="00720A2B" w:rsidRPr="00A61D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0A2B" w:rsidRPr="00A61D74">
        <w:rPr>
          <w:rFonts w:ascii="Times New Roman" w:hAnsi="Times New Roman"/>
          <w:sz w:val="24"/>
          <w:szCs w:val="24"/>
          <w:lang w:eastAsia="ru-RU"/>
        </w:rPr>
        <w:t>затвердженні</w:t>
      </w:r>
      <w:proofErr w:type="spellEnd"/>
      <w:r w:rsidR="00720A2B" w:rsidRPr="00A61D7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720A2B" w:rsidRPr="00A61D74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="00720A2B" w:rsidRPr="00A61D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0A2B" w:rsidRPr="00A61D74">
        <w:rPr>
          <w:rFonts w:ascii="Times New Roman" w:hAnsi="Times New Roman"/>
          <w:sz w:val="24"/>
          <w:szCs w:val="24"/>
          <w:lang w:eastAsia="ru-RU"/>
        </w:rPr>
        <w:t>підтверджується</w:t>
      </w:r>
      <w:proofErr w:type="spellEnd"/>
      <w:r w:rsidR="00720A2B" w:rsidRPr="00A61D74">
        <w:rPr>
          <w:rFonts w:ascii="Times New Roman" w:hAnsi="Times New Roman"/>
          <w:sz w:val="24"/>
          <w:szCs w:val="24"/>
          <w:lang w:eastAsia="ru-RU"/>
        </w:rPr>
        <w:t xml:space="preserve"> позитивною </w:t>
      </w:r>
      <w:proofErr w:type="spellStart"/>
      <w:r w:rsidR="00720A2B" w:rsidRPr="00A61D74">
        <w:rPr>
          <w:rFonts w:ascii="Times New Roman" w:hAnsi="Times New Roman"/>
          <w:sz w:val="24"/>
          <w:szCs w:val="24"/>
          <w:lang w:eastAsia="ru-RU"/>
        </w:rPr>
        <w:t>динамікою</w:t>
      </w:r>
      <w:proofErr w:type="spellEnd"/>
      <w:r w:rsidR="00720A2B" w:rsidRPr="00A61D74">
        <w:rPr>
          <w:rFonts w:ascii="Times New Roman" w:hAnsi="Times New Roman"/>
          <w:sz w:val="24"/>
          <w:szCs w:val="24"/>
          <w:lang w:eastAsia="ru-RU"/>
        </w:rPr>
        <w:t xml:space="preserve"> у 2022 </w:t>
      </w:r>
      <w:proofErr w:type="spellStart"/>
      <w:r w:rsidR="00720A2B" w:rsidRPr="00A61D74">
        <w:rPr>
          <w:rFonts w:ascii="Times New Roman" w:hAnsi="Times New Roman"/>
          <w:sz w:val="24"/>
          <w:szCs w:val="24"/>
          <w:lang w:eastAsia="ru-RU"/>
        </w:rPr>
        <w:t>році</w:t>
      </w:r>
      <w:proofErr w:type="spellEnd"/>
      <w:r w:rsidR="00720A2B" w:rsidRPr="00A61D74">
        <w:rPr>
          <w:rFonts w:ascii="Times New Roman" w:hAnsi="Times New Roman"/>
          <w:sz w:val="24"/>
          <w:szCs w:val="24"/>
          <w:lang w:eastAsia="ru-RU"/>
        </w:rPr>
        <w:t xml:space="preserve">, у </w:t>
      </w:r>
      <w:proofErr w:type="spellStart"/>
      <w:r w:rsidR="00720A2B" w:rsidRPr="00A61D74">
        <w:rPr>
          <w:rFonts w:ascii="Times New Roman" w:hAnsi="Times New Roman"/>
          <w:sz w:val="24"/>
          <w:szCs w:val="24"/>
          <w:lang w:eastAsia="ru-RU"/>
        </w:rPr>
        <w:t>порівняні</w:t>
      </w:r>
      <w:proofErr w:type="spellEnd"/>
      <w:r w:rsidR="00720A2B" w:rsidRPr="00A61D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0A2B" w:rsidRPr="00A61D74">
        <w:rPr>
          <w:rFonts w:ascii="Times New Roman" w:hAnsi="Times New Roman"/>
          <w:sz w:val="24"/>
          <w:szCs w:val="24"/>
          <w:lang w:eastAsia="ru-RU"/>
        </w:rPr>
        <w:t>фактичних</w:t>
      </w:r>
      <w:proofErr w:type="spellEnd"/>
      <w:r w:rsidR="00720A2B" w:rsidRPr="00A61D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0A2B" w:rsidRPr="00A61D74">
        <w:rPr>
          <w:rFonts w:ascii="Times New Roman" w:hAnsi="Times New Roman"/>
          <w:sz w:val="24"/>
          <w:szCs w:val="24"/>
          <w:lang w:eastAsia="ru-RU"/>
        </w:rPr>
        <w:t>показників</w:t>
      </w:r>
      <w:proofErr w:type="spellEnd"/>
      <w:r w:rsidR="00720A2B" w:rsidRPr="00A61D74">
        <w:rPr>
          <w:rFonts w:ascii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="00720A2B" w:rsidRPr="00A61D74">
        <w:rPr>
          <w:rFonts w:ascii="Times New Roman" w:hAnsi="Times New Roman"/>
          <w:sz w:val="24"/>
          <w:szCs w:val="24"/>
          <w:lang w:eastAsia="ru-RU"/>
        </w:rPr>
        <w:t>планових</w:t>
      </w:r>
      <w:proofErr w:type="spellEnd"/>
      <w:r w:rsidR="00720A2B" w:rsidRPr="00A61D74">
        <w:rPr>
          <w:rFonts w:ascii="Times New Roman" w:hAnsi="Times New Roman"/>
          <w:sz w:val="24"/>
          <w:szCs w:val="24"/>
          <w:lang w:eastAsia="ru-RU"/>
        </w:rPr>
        <w:t xml:space="preserve"> за 2021 </w:t>
      </w:r>
      <w:proofErr w:type="spellStart"/>
      <w:r w:rsidR="00720A2B" w:rsidRPr="00A61D74">
        <w:rPr>
          <w:rFonts w:ascii="Times New Roman" w:hAnsi="Times New Roman"/>
          <w:sz w:val="24"/>
          <w:szCs w:val="24"/>
          <w:lang w:eastAsia="ru-RU"/>
        </w:rPr>
        <w:t>рік</w:t>
      </w:r>
      <w:proofErr w:type="spellEnd"/>
      <w:r w:rsidR="00720A2B" w:rsidRPr="00A61D74">
        <w:rPr>
          <w:rFonts w:ascii="Times New Roman" w:hAnsi="Times New Roman"/>
          <w:sz w:val="24"/>
          <w:szCs w:val="24"/>
          <w:lang w:eastAsia="ru-RU"/>
        </w:rPr>
        <w:t>.</w:t>
      </w:r>
    </w:p>
    <w:p w:rsidR="00720A2B" w:rsidRPr="00012CC3" w:rsidRDefault="00720A2B" w:rsidP="007E3F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27"/>
        </w:rPr>
      </w:pPr>
      <w:r w:rsidRPr="00A61D74">
        <w:rPr>
          <w:lang w:eastAsia="ru-RU"/>
        </w:rPr>
        <w:t xml:space="preserve">Низький відсоток надходжень до місцевого бюджету у порівнянні з аналогічним періодом 2021 року зумовлений </w:t>
      </w:r>
      <w:r w:rsidRPr="00012CC3">
        <w:rPr>
          <w:color w:val="000000"/>
          <w:szCs w:val="27"/>
        </w:rPr>
        <w:t xml:space="preserve">положеннями </w:t>
      </w:r>
      <w:proofErr w:type="spellStart"/>
      <w:r w:rsidRPr="00012CC3">
        <w:rPr>
          <w:color w:val="000000"/>
          <w:szCs w:val="27"/>
        </w:rPr>
        <w:t>п.п</w:t>
      </w:r>
      <w:proofErr w:type="spellEnd"/>
      <w:r w:rsidRPr="00012CC3">
        <w:rPr>
          <w:color w:val="000000"/>
          <w:szCs w:val="27"/>
        </w:rPr>
        <w:t xml:space="preserve">. 69.22 п. 69 </w:t>
      </w:r>
      <w:proofErr w:type="spellStart"/>
      <w:r w:rsidRPr="00012CC3">
        <w:rPr>
          <w:color w:val="000000"/>
          <w:szCs w:val="27"/>
        </w:rPr>
        <w:t>підрозд</w:t>
      </w:r>
      <w:proofErr w:type="spellEnd"/>
      <w:r w:rsidRPr="00012CC3">
        <w:rPr>
          <w:color w:val="000000"/>
          <w:szCs w:val="27"/>
        </w:rPr>
        <w:t xml:space="preserve">. 10 </w:t>
      </w:r>
      <w:proofErr w:type="spellStart"/>
      <w:r w:rsidRPr="00012CC3">
        <w:rPr>
          <w:color w:val="000000"/>
          <w:szCs w:val="27"/>
        </w:rPr>
        <w:t>розд</w:t>
      </w:r>
      <w:proofErr w:type="spellEnd"/>
      <w:r w:rsidRPr="00012CC3">
        <w:rPr>
          <w:color w:val="000000"/>
          <w:szCs w:val="27"/>
        </w:rPr>
        <w:t>. ХХ «Перехідні положення» ПКУ, в частині нерухомого майна, що перебуває у власності юридичних осіб:</w:t>
      </w:r>
    </w:p>
    <w:p w:rsidR="000B5EF1" w:rsidRPr="00522093" w:rsidRDefault="00720A2B" w:rsidP="0052209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27"/>
        </w:rPr>
      </w:pPr>
      <w:r w:rsidRPr="00012CC3">
        <w:rPr>
          <w:color w:val="000000"/>
          <w:szCs w:val="27"/>
        </w:rPr>
        <w:t>за період з 1 березня 2022 року по 31 грудня 2022 року не нараховується та не сплачується податок на нерухоме майно, відмінне від земельної ділянки, за об’єкти житлової нерухомості, що стала непридатною для проживання у зв’язку з військовою агресією рос</w:t>
      </w:r>
      <w:r>
        <w:rPr>
          <w:color w:val="000000"/>
          <w:szCs w:val="27"/>
        </w:rPr>
        <w:t>ійської федерації проти України. Т</w:t>
      </w:r>
      <w:r w:rsidRPr="00012CC3">
        <w:rPr>
          <w:color w:val="000000"/>
          <w:szCs w:val="27"/>
        </w:rPr>
        <w:t>имчасово, на період з 01 березня 2022 року по 31 грудня року, у якому припинено або скасовано воєнний стан, не нараховується та не сплачується податок на нерухоме майно, відмінне від земельної ділянки, за об’єкти житлової/нежитлової нерухомості, в тому числі їх частки, що розташовані на територіях, на яких ведуться (велися) бойові дії, або на територіях, тимчасово окуп</w:t>
      </w:r>
      <w:r>
        <w:rPr>
          <w:color w:val="000000"/>
          <w:szCs w:val="27"/>
        </w:rPr>
        <w:t>ованих збройними формуваннями Російської Федерації</w:t>
      </w:r>
      <w:r w:rsidRPr="00012CC3">
        <w:rPr>
          <w:color w:val="000000"/>
          <w:szCs w:val="27"/>
        </w:rPr>
        <w:t>.</w:t>
      </w:r>
    </w:p>
    <w:p w:rsidR="00AC25A1" w:rsidRPr="000D3926" w:rsidRDefault="00AC25A1" w:rsidP="00AC25A1">
      <w:pPr>
        <w:spacing w:after="0" w:line="240" w:lineRule="auto"/>
        <w:rPr>
          <w:rFonts w:ascii="Times New Roman" w:hAnsi="Times New Roman"/>
          <w:vanish/>
          <w:sz w:val="24"/>
          <w:szCs w:val="24"/>
          <w:lang w:val="uk-UA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"/>
      </w:tblGrid>
      <w:tr w:rsidR="00AC25A1" w:rsidRPr="00955705" w:rsidTr="00753CBB">
        <w:trPr>
          <w:tblCellSpacing w:w="15" w:type="dxa"/>
        </w:trPr>
        <w:tc>
          <w:tcPr>
            <w:tcW w:w="0" w:type="auto"/>
          </w:tcPr>
          <w:p w:rsidR="00AC25A1" w:rsidRPr="000D3926" w:rsidRDefault="00AC25A1" w:rsidP="00753C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22397A" w:rsidRPr="0022397A" w:rsidRDefault="0022397A" w:rsidP="002239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2397A">
        <w:rPr>
          <w:rFonts w:ascii="Times New Roman" w:hAnsi="Times New Roman"/>
          <w:b/>
          <w:sz w:val="24"/>
          <w:szCs w:val="24"/>
          <w:lang w:val="uk-UA"/>
        </w:rPr>
        <w:t xml:space="preserve">Начальник </w:t>
      </w:r>
    </w:p>
    <w:p w:rsidR="0022397A" w:rsidRPr="0022397A" w:rsidRDefault="0022397A" w:rsidP="002239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2397A">
        <w:rPr>
          <w:rFonts w:ascii="Times New Roman" w:hAnsi="Times New Roman"/>
          <w:b/>
          <w:sz w:val="24"/>
          <w:szCs w:val="24"/>
          <w:lang w:val="uk-UA"/>
        </w:rPr>
        <w:t>відділу економічного розвитку, інвестицій</w:t>
      </w:r>
    </w:p>
    <w:p w:rsidR="0022397A" w:rsidRPr="0022397A" w:rsidRDefault="0022397A" w:rsidP="002239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2397A">
        <w:rPr>
          <w:rFonts w:ascii="Times New Roman" w:hAnsi="Times New Roman"/>
          <w:b/>
          <w:sz w:val="24"/>
          <w:szCs w:val="24"/>
          <w:lang w:val="uk-UA"/>
        </w:rPr>
        <w:t xml:space="preserve">та цифрової трансформації                        </w:t>
      </w:r>
      <w:r w:rsidRPr="0022397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Тетяна ЛІПІНСЬКА</w:t>
      </w:r>
    </w:p>
    <w:p w:rsidR="0022397A" w:rsidRPr="0022397A" w:rsidRDefault="0022397A" w:rsidP="0022397A">
      <w:pPr>
        <w:rPr>
          <w:rFonts w:eastAsia="Calibri"/>
          <w:lang w:val="uk-UA"/>
        </w:rPr>
      </w:pPr>
    </w:p>
    <w:p w:rsidR="0022397A" w:rsidRPr="0022397A" w:rsidRDefault="0022397A" w:rsidP="0022397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 w:eastAsia="ru-RU"/>
        </w:rPr>
      </w:pPr>
      <w:r w:rsidRPr="0022397A">
        <w:rPr>
          <w:rFonts w:ascii="Times New Roman" w:hAnsi="Times New Roman"/>
          <w:bCs/>
          <w:sz w:val="20"/>
          <w:szCs w:val="20"/>
          <w:lang w:val="uk-UA" w:eastAsia="ru-RU"/>
        </w:rPr>
        <w:t xml:space="preserve">Виконавець </w:t>
      </w:r>
    </w:p>
    <w:p w:rsidR="0022397A" w:rsidRPr="0022397A" w:rsidRDefault="0022397A" w:rsidP="0022397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 w:eastAsia="ru-RU"/>
        </w:rPr>
      </w:pPr>
      <w:r w:rsidRPr="0022397A">
        <w:rPr>
          <w:rFonts w:ascii="Times New Roman" w:hAnsi="Times New Roman"/>
          <w:bCs/>
          <w:sz w:val="20"/>
          <w:szCs w:val="20"/>
          <w:lang w:val="uk-UA" w:eastAsia="ru-RU"/>
        </w:rPr>
        <w:t xml:space="preserve">Головний спеціаліст відділу економічного </w:t>
      </w:r>
    </w:p>
    <w:p w:rsidR="0022397A" w:rsidRPr="0022397A" w:rsidRDefault="0022397A" w:rsidP="0022397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 w:eastAsia="ru-RU"/>
        </w:rPr>
      </w:pPr>
      <w:r w:rsidRPr="0022397A">
        <w:rPr>
          <w:rFonts w:ascii="Times New Roman" w:hAnsi="Times New Roman"/>
          <w:bCs/>
          <w:sz w:val="20"/>
          <w:szCs w:val="20"/>
          <w:lang w:val="uk-UA" w:eastAsia="ru-RU"/>
        </w:rPr>
        <w:t>розвитку, інвестицій та цифрової трансформації</w:t>
      </w:r>
      <w:r w:rsidRPr="0022397A">
        <w:rPr>
          <w:rFonts w:ascii="Times New Roman" w:hAnsi="Times New Roman"/>
          <w:bCs/>
          <w:sz w:val="20"/>
          <w:szCs w:val="20"/>
          <w:lang w:val="uk-UA" w:eastAsia="ru-RU"/>
        </w:rPr>
        <w:tab/>
      </w:r>
      <w:r w:rsidRPr="0022397A">
        <w:rPr>
          <w:rFonts w:ascii="Times New Roman" w:hAnsi="Times New Roman"/>
          <w:bCs/>
          <w:sz w:val="20"/>
          <w:szCs w:val="20"/>
          <w:lang w:val="uk-UA" w:eastAsia="ru-RU"/>
        </w:rPr>
        <w:tab/>
      </w:r>
      <w:r w:rsidRPr="0022397A">
        <w:rPr>
          <w:rFonts w:ascii="Times New Roman" w:hAnsi="Times New Roman"/>
          <w:bCs/>
          <w:sz w:val="20"/>
          <w:szCs w:val="20"/>
          <w:lang w:val="uk-UA" w:eastAsia="ru-RU"/>
        </w:rPr>
        <w:tab/>
      </w:r>
      <w:r w:rsidRPr="0022397A">
        <w:rPr>
          <w:rFonts w:ascii="Times New Roman" w:hAnsi="Times New Roman"/>
          <w:bCs/>
          <w:sz w:val="20"/>
          <w:szCs w:val="20"/>
          <w:lang w:val="uk-UA" w:eastAsia="ru-RU"/>
        </w:rPr>
        <w:tab/>
        <w:t xml:space="preserve">                        Олександр СТАСЮК</w:t>
      </w:r>
    </w:p>
    <w:p w:rsidR="00974929" w:rsidRPr="00AC25A1" w:rsidRDefault="00974929" w:rsidP="002239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974929" w:rsidRPr="00AC25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DC4D27"/>
    <w:multiLevelType w:val="hybridMultilevel"/>
    <w:tmpl w:val="300A7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609A3"/>
    <w:multiLevelType w:val="hybridMultilevel"/>
    <w:tmpl w:val="BEB0093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A909CC"/>
    <w:multiLevelType w:val="hybridMultilevel"/>
    <w:tmpl w:val="699A9B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12"/>
    <w:rsid w:val="00007239"/>
    <w:rsid w:val="00011817"/>
    <w:rsid w:val="00050050"/>
    <w:rsid w:val="00073000"/>
    <w:rsid w:val="00074D98"/>
    <w:rsid w:val="0008683F"/>
    <w:rsid w:val="000B5EF1"/>
    <w:rsid w:val="000D3926"/>
    <w:rsid w:val="00115550"/>
    <w:rsid w:val="00153BCE"/>
    <w:rsid w:val="00157473"/>
    <w:rsid w:val="0022397A"/>
    <w:rsid w:val="002C4EB4"/>
    <w:rsid w:val="002D5D12"/>
    <w:rsid w:val="00303B6B"/>
    <w:rsid w:val="00475E43"/>
    <w:rsid w:val="004B0846"/>
    <w:rsid w:val="004F151A"/>
    <w:rsid w:val="00522093"/>
    <w:rsid w:val="0056239B"/>
    <w:rsid w:val="00571D57"/>
    <w:rsid w:val="005C4122"/>
    <w:rsid w:val="006108DC"/>
    <w:rsid w:val="0068598E"/>
    <w:rsid w:val="00690950"/>
    <w:rsid w:val="00720A2B"/>
    <w:rsid w:val="007436E2"/>
    <w:rsid w:val="007B28CD"/>
    <w:rsid w:val="007E3FB9"/>
    <w:rsid w:val="00804C0E"/>
    <w:rsid w:val="008C178D"/>
    <w:rsid w:val="00955705"/>
    <w:rsid w:val="00974929"/>
    <w:rsid w:val="00A8352B"/>
    <w:rsid w:val="00AB5F05"/>
    <w:rsid w:val="00AC25A1"/>
    <w:rsid w:val="00B06C82"/>
    <w:rsid w:val="00B531F8"/>
    <w:rsid w:val="00BE62B9"/>
    <w:rsid w:val="00C9061C"/>
    <w:rsid w:val="00E21C77"/>
    <w:rsid w:val="00E51B64"/>
    <w:rsid w:val="00EB2997"/>
    <w:rsid w:val="00F11606"/>
    <w:rsid w:val="00F36CC6"/>
    <w:rsid w:val="00FA5FDA"/>
    <w:rsid w:val="00FB15C6"/>
    <w:rsid w:val="00FC1B8C"/>
    <w:rsid w:val="00FC2DEF"/>
    <w:rsid w:val="00F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5A9A"/>
  <w15:chartTrackingRefBased/>
  <w15:docId w15:val="{747B9771-3BAA-48F8-886A-6B0E1982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A1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49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0A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07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00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081E-32DA-4FA8-93F0-719E1EF3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3757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2023-11-14T12:54:00Z</cp:lastPrinted>
  <dcterms:created xsi:type="dcterms:W3CDTF">2022-11-30T09:22:00Z</dcterms:created>
  <dcterms:modified xsi:type="dcterms:W3CDTF">2023-11-20T10:45:00Z</dcterms:modified>
</cp:coreProperties>
</file>