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DB" w:rsidRPr="009C27C6" w:rsidRDefault="00EC68DB" w:rsidP="00EC68DB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9C27C6">
        <w:rPr>
          <w:rFonts w:ascii="Times New Roman" w:hAnsi="Times New Roman"/>
          <w:sz w:val="28"/>
          <w:szCs w:val="28"/>
          <w:lang w:val="uk-UA" w:eastAsia="ru-RU"/>
        </w:rPr>
        <w:tab/>
      </w:r>
      <w:r w:rsidRPr="009C27C6">
        <w:rPr>
          <w:rFonts w:ascii="Times New Roman" w:hAnsi="Times New Roman"/>
          <w:sz w:val="28"/>
          <w:szCs w:val="28"/>
          <w:lang w:val="uk-UA" w:eastAsia="ru-RU"/>
        </w:rPr>
        <w:tab/>
      </w:r>
      <w:r w:rsidRPr="009C27C6">
        <w:rPr>
          <w:rFonts w:ascii="Times New Roman" w:hAnsi="Times New Roman"/>
          <w:sz w:val="28"/>
          <w:szCs w:val="28"/>
          <w:lang w:val="uk-UA" w:eastAsia="ru-RU"/>
        </w:rPr>
        <w:tab/>
      </w:r>
      <w:r w:rsidRPr="009C27C6">
        <w:rPr>
          <w:rFonts w:ascii="Times New Roman" w:hAnsi="Times New Roman"/>
          <w:sz w:val="28"/>
          <w:szCs w:val="28"/>
          <w:lang w:val="uk-UA" w:eastAsia="ru-RU"/>
        </w:rPr>
        <w:tab/>
      </w:r>
      <w:r w:rsidRPr="009C27C6">
        <w:rPr>
          <w:rFonts w:ascii="Times New Roman" w:hAnsi="Times New Roman"/>
          <w:sz w:val="28"/>
          <w:szCs w:val="28"/>
          <w:lang w:val="uk-UA" w:eastAsia="ru-RU"/>
        </w:rPr>
        <w:tab/>
      </w:r>
      <w:r w:rsidRPr="009C27C6"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Pr="009C27C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078567" wp14:editId="63958D84">
            <wp:extent cx="514350" cy="638175"/>
            <wp:effectExtent l="1905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DB" w:rsidRPr="009C27C6" w:rsidRDefault="00EC68DB" w:rsidP="00EC68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27C6">
        <w:rPr>
          <w:rFonts w:ascii="Times New Roman" w:hAnsi="Times New Roman"/>
          <w:b/>
          <w:sz w:val="28"/>
          <w:szCs w:val="28"/>
          <w:lang w:val="uk-UA"/>
        </w:rPr>
        <w:t xml:space="preserve"> БУЧАНСЬКА     МІСЬКА      РАДА</w:t>
      </w:r>
    </w:p>
    <w:p w:rsidR="00EC68DB" w:rsidRPr="009C27C6" w:rsidRDefault="00EC68DB" w:rsidP="00EC68DB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C27C6">
        <w:rPr>
          <w:rFonts w:ascii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:rsidR="00EC68DB" w:rsidRDefault="00EC68DB" w:rsidP="00EC68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ВОСЬМА</w:t>
      </w:r>
      <w:r w:rsidRPr="009C27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C27C6">
        <w:rPr>
          <w:rFonts w:ascii="Times New Roman" w:hAnsi="Times New Roman"/>
          <w:b/>
          <w:sz w:val="28"/>
          <w:szCs w:val="28"/>
          <w:lang w:val="uk-UA" w:eastAsia="ru-RU"/>
        </w:rPr>
        <w:t xml:space="preserve"> СЕСІЯ  </w:t>
      </w:r>
      <w:r w:rsidRPr="009C27C6">
        <w:rPr>
          <w:rFonts w:ascii="Times New Roman" w:hAnsi="Times New Roman"/>
          <w:b/>
          <w:sz w:val="28"/>
          <w:szCs w:val="28"/>
          <w:lang w:eastAsia="ru-RU"/>
        </w:rPr>
        <w:t xml:space="preserve"> СЬОМОГО</w:t>
      </w:r>
      <w:r w:rsidRPr="009C27C6">
        <w:rPr>
          <w:rFonts w:ascii="Times New Roman" w:hAnsi="Times New Roman"/>
          <w:b/>
          <w:sz w:val="28"/>
          <w:szCs w:val="28"/>
          <w:lang w:val="uk-UA" w:eastAsia="ru-RU"/>
        </w:rPr>
        <w:t xml:space="preserve">   СКЛИКАННЯ</w:t>
      </w:r>
    </w:p>
    <w:p w:rsidR="00EC68DB" w:rsidRPr="009C27C6" w:rsidRDefault="00EC68DB" w:rsidP="00EC68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C68DB" w:rsidRPr="009C27C6" w:rsidRDefault="00EC68DB" w:rsidP="00EC68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C27C6">
        <w:rPr>
          <w:rFonts w:ascii="Times New Roman" w:hAnsi="Times New Roman"/>
          <w:b/>
          <w:sz w:val="28"/>
          <w:szCs w:val="28"/>
          <w:lang w:val="uk-UA" w:eastAsia="ru-RU"/>
        </w:rPr>
        <w:t xml:space="preserve">Р  І   Ш   Е   Н   </w:t>
      </w:r>
      <w:proofErr w:type="spellStart"/>
      <w:r w:rsidRPr="009C27C6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9C27C6">
        <w:rPr>
          <w:rFonts w:ascii="Times New Roman" w:hAnsi="Times New Roman"/>
          <w:b/>
          <w:sz w:val="28"/>
          <w:szCs w:val="28"/>
          <w:lang w:val="uk-UA" w:eastAsia="ru-RU"/>
        </w:rPr>
        <w:t xml:space="preserve">   Я</w:t>
      </w:r>
    </w:p>
    <w:p w:rsidR="00EC68DB" w:rsidRPr="009C27C6" w:rsidRDefault="00EC68DB" w:rsidP="00EC68D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C68DB" w:rsidRPr="00EC68DB" w:rsidRDefault="00EC68DB" w:rsidP="00EC68DB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9C27C6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«</w:t>
      </w:r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 </w:t>
      </w:r>
      <w:r w:rsidRPr="00096D57">
        <w:rPr>
          <w:rFonts w:ascii="Times New Roman" w:hAnsi="Times New Roman"/>
          <w:b/>
          <w:sz w:val="24"/>
          <w:szCs w:val="24"/>
          <w:u w:val="single"/>
          <w:lang w:eastAsia="ru-RU"/>
        </w:rPr>
        <w:t>31</w:t>
      </w:r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</w:t>
      </w:r>
      <w:r w:rsidRPr="009C27C6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» </w:t>
      </w:r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березня </w:t>
      </w:r>
      <w:r w:rsidRPr="009C27C6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 201</w:t>
      </w:r>
      <w:r w:rsidRPr="004775B7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6</w:t>
      </w:r>
      <w:r w:rsidRPr="009C27C6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р.</w:t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ab/>
        <w:t xml:space="preserve">  </w:t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9C27C6">
        <w:rPr>
          <w:rFonts w:ascii="Times New Roman" w:hAnsi="Times New Roman"/>
          <w:b/>
          <w:lang w:val="uk-UA"/>
        </w:rPr>
        <w:t xml:space="preserve">         </w:t>
      </w:r>
      <w:r w:rsidRPr="009C27C6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227 – 8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–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9C27C6">
        <w:rPr>
          <w:rFonts w:ascii="Times New Roman" w:hAnsi="Times New Roman"/>
          <w:b/>
          <w:sz w:val="24"/>
          <w:szCs w:val="24"/>
          <w:lang w:val="uk-UA" w:eastAsia="ru-RU"/>
        </w:rPr>
        <w:t>VІ</w:t>
      </w:r>
      <w:r w:rsidRPr="004775B7">
        <w:rPr>
          <w:rFonts w:ascii="Times New Roman" w:hAnsi="Times New Roman"/>
          <w:b/>
          <w:sz w:val="24"/>
          <w:szCs w:val="24"/>
          <w:lang w:val="uk-UA" w:eastAsia="ru-RU"/>
        </w:rPr>
        <w:t>І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</w:p>
    <w:p w:rsidR="00EC68DB" w:rsidRPr="009C27C6" w:rsidRDefault="00EC68DB" w:rsidP="00EC68DB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ru-RU"/>
        </w:rPr>
      </w:pPr>
    </w:p>
    <w:p w:rsidR="00EC68DB" w:rsidRDefault="00EC68DB" w:rsidP="00EC68DB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775B7">
        <w:rPr>
          <w:rFonts w:ascii="Times New Roman" w:hAnsi="Times New Roman"/>
          <w:b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розширення повноважень органів</w:t>
      </w:r>
    </w:p>
    <w:p w:rsidR="00EC68DB" w:rsidRDefault="00EC68DB" w:rsidP="00EC68DB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місцевого самоврядування та оптимізації</w:t>
      </w:r>
    </w:p>
    <w:p w:rsidR="00EC68DB" w:rsidRDefault="00EC68DB" w:rsidP="00EC68DB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надання адміністративних послуг</w:t>
      </w:r>
    </w:p>
    <w:p w:rsidR="00EC68DB" w:rsidRPr="009C27C6" w:rsidRDefault="00EC68DB" w:rsidP="00EC68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C68DB" w:rsidRPr="00D32125" w:rsidRDefault="00EC68DB" w:rsidP="00EC68D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На виконання законів України «Про державну реєстрацію речових прав на нерухоме майно та їх обтяжень», «Про державну реєстрацію юридичних осіб, фізичних осіб-підприємців та громадських формувань» (у новій редакції з 02.01.2016 р.),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зважаючи на Закон України «Про добровільне </w:t>
      </w:r>
      <w:r w:rsidRPr="00D32125">
        <w:rPr>
          <w:rFonts w:ascii="Times New Roman" w:hAnsi="Times New Roman"/>
          <w:sz w:val="24"/>
          <w:szCs w:val="24"/>
          <w:lang w:val="uk-UA"/>
        </w:rPr>
        <w:t>об’єднання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територіальних громад» та керуючись Законом України «Про місцеве самоврядування в Україні», </w:t>
      </w:r>
      <w:proofErr w:type="spellStart"/>
      <w:r w:rsidRPr="00D32125">
        <w:rPr>
          <w:rFonts w:ascii="Times New Roman" w:hAnsi="Times New Roman"/>
          <w:sz w:val="24"/>
          <w:szCs w:val="24"/>
          <w:lang w:val="uk-UA" w:eastAsia="ru-RU"/>
        </w:rPr>
        <w:t>Бучанська</w:t>
      </w:r>
      <w:proofErr w:type="spellEnd"/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міська рада</w:t>
      </w:r>
    </w:p>
    <w:p w:rsidR="00EC68DB" w:rsidRPr="00D32125" w:rsidRDefault="00EC68DB" w:rsidP="00EC68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C68DB" w:rsidRPr="00D32125" w:rsidRDefault="00EC68DB" w:rsidP="00EC68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b/>
          <w:sz w:val="24"/>
          <w:szCs w:val="24"/>
          <w:lang w:val="uk-UA" w:eastAsia="ru-RU"/>
        </w:rPr>
        <w:t>ВИРІШИЛА:</w:t>
      </w:r>
    </w:p>
    <w:p w:rsidR="00EC68DB" w:rsidRPr="00D32125" w:rsidRDefault="00EC68DB" w:rsidP="00EC68D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68DB" w:rsidRPr="00D32125" w:rsidRDefault="00EC68DB" w:rsidP="00EC68DB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Затвердити Положення про Центр надання адміністративних послуг м. Буча (Додаток 1).</w:t>
      </w:r>
    </w:p>
    <w:p w:rsidR="00EC68DB" w:rsidRPr="00D32125" w:rsidRDefault="00EC68DB" w:rsidP="00EC68DB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Затвердити Регламент роботи Центру надання адміністративних послуг м. Буча (Додаток 2).</w:t>
      </w:r>
    </w:p>
    <w:p w:rsidR="00EC68DB" w:rsidRPr="00D32125" w:rsidRDefault="00EC68DB" w:rsidP="00EC68DB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Затвердити перелік адміністративних послуг, які будуть надаватись через Центр надання адміністративних послуг м. Буча (Додаток 3).</w:t>
      </w:r>
    </w:p>
    <w:p w:rsidR="00EC68DB" w:rsidRPr="00D32125" w:rsidRDefault="00EC68DB" w:rsidP="00EC68DB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Затвердити інформаційні та технологічні картки на кожну із вище зазначених адміністративних послуг (Додаток 4).</w:t>
      </w:r>
    </w:p>
    <w:p w:rsidR="00EC68DB" w:rsidRPr="00D32125" w:rsidRDefault="00EC68DB" w:rsidP="00EC68DB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Вважати такими, що втратили чинність рішення </w:t>
      </w:r>
      <w:proofErr w:type="spellStart"/>
      <w:r w:rsidRPr="00D32125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ради: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1110-39-</w:t>
      </w:r>
      <w:r w:rsidRPr="00D32125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25.04.2013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1299-42-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27.07.2013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1342-44-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26.09.2013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1343-44-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26.09.2013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1344-44-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26.09.2013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1598-51-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27.02.2014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1649-54-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22.05.2014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1846-58-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25.09.2014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2003-63-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25.12.2014 р.;</w:t>
      </w:r>
    </w:p>
    <w:p w:rsidR="00EC68DB" w:rsidRPr="00D32125" w:rsidRDefault="00EC68DB" w:rsidP="00EC6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>№ 2004-63-</w:t>
      </w:r>
      <w:r w:rsidRPr="00D32125">
        <w:rPr>
          <w:rFonts w:ascii="Times New Roman" w:hAnsi="Times New Roman"/>
          <w:sz w:val="24"/>
          <w:szCs w:val="24"/>
          <w:lang w:eastAsia="ru-RU"/>
        </w:rPr>
        <w:t>VI</w:t>
      </w: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 від 25.12.2014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р.</w:t>
      </w:r>
    </w:p>
    <w:p w:rsidR="00EC68DB" w:rsidRPr="00D32125" w:rsidRDefault="00EC68DB" w:rsidP="00EC68DB">
      <w:pPr>
        <w:pStyle w:val="a3"/>
        <w:numPr>
          <w:ilvl w:val="0"/>
          <w:numId w:val="2"/>
        </w:numPr>
        <w:tabs>
          <w:tab w:val="left" w:pos="5985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32125">
        <w:rPr>
          <w:rFonts w:ascii="Times New Roman" w:hAnsi="Times New Roman"/>
          <w:sz w:val="24"/>
          <w:szCs w:val="24"/>
          <w:lang w:val="uk-UA" w:eastAsia="ru-RU"/>
        </w:rPr>
        <w:t xml:space="preserve">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 </w:t>
      </w:r>
    </w:p>
    <w:p w:rsidR="00EC68DB" w:rsidRDefault="00EC68DB" w:rsidP="00EC68D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321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23D0B" w:rsidRDefault="00EC68DB" w:rsidP="00EC68DB">
      <w:pPr>
        <w:jc w:val="both"/>
      </w:pPr>
      <w:r w:rsidRPr="00D32125">
        <w:rPr>
          <w:rFonts w:ascii="Times New Roman" w:hAnsi="Times New Roman"/>
          <w:b/>
          <w:sz w:val="24"/>
          <w:szCs w:val="24"/>
          <w:lang w:val="uk-UA"/>
        </w:rPr>
        <w:t xml:space="preserve">  Міський голова</w:t>
      </w:r>
      <w:r w:rsidRPr="00D32125">
        <w:rPr>
          <w:rFonts w:ascii="Times New Roman" w:hAnsi="Times New Roman"/>
          <w:b/>
          <w:sz w:val="24"/>
          <w:szCs w:val="24"/>
          <w:lang w:val="uk-UA"/>
        </w:rPr>
        <w:tab/>
      </w:r>
      <w:r w:rsidRPr="00D32125">
        <w:rPr>
          <w:rFonts w:ascii="Times New Roman" w:hAnsi="Times New Roman"/>
          <w:b/>
          <w:sz w:val="24"/>
          <w:szCs w:val="24"/>
          <w:lang w:val="uk-UA"/>
        </w:rPr>
        <w:tab/>
      </w:r>
      <w:r w:rsidRPr="00D32125">
        <w:rPr>
          <w:rFonts w:ascii="Times New Roman" w:hAnsi="Times New Roman"/>
          <w:b/>
          <w:sz w:val="24"/>
          <w:szCs w:val="24"/>
          <w:lang w:val="uk-UA"/>
        </w:rPr>
        <w:tab/>
      </w:r>
      <w:r w:rsidRPr="00D32125">
        <w:rPr>
          <w:rFonts w:ascii="Times New Roman" w:hAnsi="Times New Roman"/>
          <w:b/>
          <w:sz w:val="24"/>
          <w:szCs w:val="24"/>
          <w:lang w:val="uk-UA"/>
        </w:rPr>
        <w:tab/>
      </w:r>
      <w:r w:rsidRPr="00D32125">
        <w:rPr>
          <w:rFonts w:ascii="Times New Roman" w:hAnsi="Times New Roman"/>
          <w:b/>
          <w:sz w:val="24"/>
          <w:szCs w:val="24"/>
          <w:lang w:val="uk-UA"/>
        </w:rPr>
        <w:tab/>
      </w:r>
      <w:r w:rsidRPr="00D32125">
        <w:rPr>
          <w:rFonts w:ascii="Times New Roman" w:hAnsi="Times New Roman"/>
          <w:b/>
          <w:sz w:val="24"/>
          <w:szCs w:val="24"/>
          <w:lang w:val="uk-UA"/>
        </w:rPr>
        <w:tab/>
      </w:r>
      <w:r w:rsidRPr="00D32125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А.П. </w:t>
      </w:r>
      <w:proofErr w:type="spellStart"/>
      <w:r w:rsidRPr="00D32125">
        <w:rPr>
          <w:rFonts w:ascii="Times New Roman" w:hAnsi="Times New Roman"/>
          <w:b/>
          <w:sz w:val="24"/>
          <w:szCs w:val="24"/>
          <w:lang w:val="uk-UA"/>
        </w:rPr>
        <w:t>Федорук</w:t>
      </w:r>
      <w:bookmarkStart w:id="0" w:name="_GoBack"/>
      <w:bookmarkEnd w:id="0"/>
      <w:proofErr w:type="spellEnd"/>
    </w:p>
    <w:sectPr w:rsidR="00A23D0B" w:rsidSect="00EC68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28"/>
    <w:multiLevelType w:val="hybridMultilevel"/>
    <w:tmpl w:val="2256BF24"/>
    <w:lvl w:ilvl="0" w:tplc="504C0C36">
      <w:start w:val="1"/>
      <w:numFmt w:val="decimal"/>
      <w:lvlText w:val="%1."/>
      <w:lvlJc w:val="left"/>
      <w:pPr>
        <w:ind w:left="1623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F7058"/>
    <w:multiLevelType w:val="hybridMultilevel"/>
    <w:tmpl w:val="98B03246"/>
    <w:lvl w:ilvl="0" w:tplc="F740FE70"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47"/>
    <w:rsid w:val="002C7067"/>
    <w:rsid w:val="00381847"/>
    <w:rsid w:val="00EC68DB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68D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E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68D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E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>Krokoz™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2016-04-14T06:51:00Z</dcterms:created>
  <dcterms:modified xsi:type="dcterms:W3CDTF">2016-04-14T06:53:00Z</dcterms:modified>
</cp:coreProperties>
</file>