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9D" w:rsidRDefault="0076609D" w:rsidP="003352A7">
      <w:pPr>
        <w:pStyle w:val="Standard"/>
        <w:jc w:val="center"/>
      </w:pPr>
      <w:r w:rsidRPr="0071340B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1.25pt;height:49.5pt;visibility:visible">
            <v:imagedata r:id="rId5" o:title="" grayscale="t" bilevel="t"/>
          </v:shape>
        </w:pict>
      </w:r>
    </w:p>
    <w:p w:rsidR="0076609D" w:rsidRDefault="0076609D" w:rsidP="003352A7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БУЧАНСЬКА     МІСЬКА      РАДА</w:t>
      </w:r>
    </w:p>
    <w:p w:rsidR="0076609D" w:rsidRPr="00C556F6" w:rsidRDefault="0076609D" w:rsidP="003352A7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uk-UA"/>
        </w:rPr>
        <w:t>_______________________</w:t>
      </w:r>
      <w:r>
        <w:rPr>
          <w:b/>
          <w:bCs/>
          <w:sz w:val="28"/>
          <w:szCs w:val="28"/>
          <w:u w:val="single"/>
          <w:lang w:val="uk-UA"/>
        </w:rPr>
        <w:t>КИЇВСЬКОЇ ОБЛАСТІ</w:t>
      </w:r>
      <w:r>
        <w:rPr>
          <w:b/>
          <w:bCs/>
          <w:sz w:val="28"/>
          <w:szCs w:val="28"/>
          <w:lang w:val="uk-UA"/>
        </w:rPr>
        <w:t>________________________</w:t>
      </w:r>
    </w:p>
    <w:p w:rsidR="0076609D" w:rsidRDefault="0076609D" w:rsidP="003352A7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И К О Н А В Ч И  Й         К О М І Т Е Т</w:t>
      </w:r>
    </w:p>
    <w:p w:rsidR="0076609D" w:rsidRDefault="0076609D" w:rsidP="003352A7">
      <w:pPr>
        <w:pStyle w:val="Standard"/>
        <w:jc w:val="center"/>
        <w:rPr>
          <w:b/>
          <w:bCs/>
          <w:sz w:val="28"/>
          <w:szCs w:val="28"/>
          <w:lang w:val="ru-RU"/>
        </w:rPr>
      </w:pPr>
    </w:p>
    <w:p w:rsidR="0076609D" w:rsidRDefault="0076609D" w:rsidP="003352A7">
      <w:pPr>
        <w:pStyle w:val="Standard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Р  І  Ш  Е  Н  Н  Я</w:t>
      </w:r>
    </w:p>
    <w:p w:rsidR="0076609D" w:rsidRDefault="0076609D" w:rsidP="003352A7">
      <w:pPr>
        <w:pStyle w:val="Standard"/>
        <w:rPr>
          <w:b/>
          <w:bCs/>
          <w:color w:val="000000"/>
          <w:u w:val="single"/>
          <w:lang w:val="ru-RU"/>
        </w:rPr>
      </w:pPr>
    </w:p>
    <w:p w:rsidR="0076609D" w:rsidRDefault="0076609D" w:rsidP="003352A7">
      <w:pPr>
        <w:pStyle w:val="Standard"/>
        <w:rPr>
          <w:b/>
          <w:bCs/>
          <w:color w:val="000000"/>
          <w:u w:val="single"/>
          <w:lang w:val="ru-RU"/>
        </w:rPr>
      </w:pPr>
    </w:p>
    <w:p w:rsidR="0076609D" w:rsidRPr="00C556F6" w:rsidRDefault="0076609D" w:rsidP="003352A7">
      <w:pPr>
        <w:pStyle w:val="Standard"/>
        <w:rPr>
          <w:lang w:val="ru-RU"/>
        </w:rPr>
      </w:pPr>
      <w:r>
        <w:rPr>
          <w:b/>
          <w:bCs/>
          <w:color w:val="000000"/>
          <w:lang w:val="ru-RU"/>
        </w:rPr>
        <w:t xml:space="preserve">« 20 » </w:t>
      </w:r>
      <w:r>
        <w:rPr>
          <w:b/>
          <w:bCs/>
          <w:color w:val="000000"/>
          <w:lang w:val="uk-UA"/>
        </w:rPr>
        <w:t>лип</w:t>
      </w:r>
      <w:r>
        <w:rPr>
          <w:b/>
          <w:bCs/>
          <w:color w:val="000000"/>
          <w:lang w:val="ru-RU"/>
        </w:rPr>
        <w:t>ня 2021 року</w:t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color w:val="000000"/>
          <w:lang w:val="ru-RU"/>
        </w:rPr>
        <w:tab/>
      </w:r>
      <w:r>
        <w:rPr>
          <w:b/>
          <w:bCs/>
          <w:lang w:val="ru-RU"/>
        </w:rPr>
        <w:t>№ _</w:t>
      </w:r>
      <w:r w:rsidRPr="00AD5EA6">
        <w:rPr>
          <w:b/>
          <w:bCs/>
          <w:u w:val="single"/>
          <w:lang w:val="ru-RU"/>
        </w:rPr>
        <w:t>468</w:t>
      </w:r>
      <w:r>
        <w:rPr>
          <w:b/>
          <w:bCs/>
          <w:lang w:val="ru-RU"/>
        </w:rPr>
        <w:t>__</w:t>
      </w:r>
    </w:p>
    <w:p w:rsidR="0076609D" w:rsidRDefault="0076609D" w:rsidP="003352A7">
      <w:pPr>
        <w:pStyle w:val="Standard"/>
        <w:rPr>
          <w:b/>
          <w:bCs/>
          <w:lang w:val="ru-RU"/>
        </w:rPr>
      </w:pPr>
    </w:p>
    <w:p w:rsidR="0076609D" w:rsidRDefault="0076609D" w:rsidP="003352A7">
      <w:pPr>
        <w:pStyle w:val="Standard"/>
        <w:rPr>
          <w:b/>
          <w:bCs/>
          <w:lang w:val="ru-RU"/>
        </w:rPr>
      </w:pPr>
    </w:p>
    <w:p w:rsidR="0076609D" w:rsidRDefault="0076609D" w:rsidP="003352A7">
      <w:pPr>
        <w:pStyle w:val="Standard"/>
        <w:keepNext/>
        <w:keepLines/>
        <w:spacing w:line="276" w:lineRule="auto"/>
        <w:rPr>
          <w:b/>
          <w:bCs/>
          <w:lang w:val="ru-RU"/>
        </w:rPr>
      </w:pPr>
      <w:r>
        <w:rPr>
          <w:b/>
          <w:bCs/>
          <w:lang w:val="ru-RU"/>
        </w:rPr>
        <w:t>Про  надання адміністративних послуг</w:t>
      </w:r>
    </w:p>
    <w:p w:rsidR="0076609D" w:rsidRDefault="0076609D" w:rsidP="003352A7">
      <w:pPr>
        <w:pStyle w:val="Standard"/>
        <w:spacing w:line="276" w:lineRule="auto"/>
        <w:rPr>
          <w:b/>
          <w:bCs/>
          <w:lang w:val="ru-RU"/>
        </w:rPr>
      </w:pPr>
      <w:r>
        <w:rPr>
          <w:b/>
          <w:bCs/>
          <w:lang w:val="ru-RU"/>
        </w:rPr>
        <w:t>через управління Центр надання адміністративних</w:t>
      </w:r>
    </w:p>
    <w:p w:rsidR="0076609D" w:rsidRDefault="0076609D" w:rsidP="003352A7">
      <w:pPr>
        <w:pStyle w:val="Standard"/>
        <w:spacing w:line="276" w:lineRule="auto"/>
        <w:rPr>
          <w:b/>
          <w:bCs/>
          <w:lang w:val="ru-RU"/>
        </w:rPr>
      </w:pPr>
      <w:r>
        <w:rPr>
          <w:b/>
          <w:bCs/>
          <w:lang w:val="ru-RU"/>
        </w:rPr>
        <w:t xml:space="preserve">послуг протягом </w:t>
      </w:r>
      <w:r>
        <w:rPr>
          <w:b/>
          <w:bCs/>
          <w:lang w:val="uk-UA"/>
        </w:rPr>
        <w:t xml:space="preserve">І півріччя </w:t>
      </w:r>
      <w:r>
        <w:rPr>
          <w:b/>
          <w:bCs/>
          <w:lang w:val="ru-RU"/>
        </w:rPr>
        <w:t>2021 р.</w:t>
      </w:r>
    </w:p>
    <w:p w:rsidR="0076609D" w:rsidRDefault="0076609D" w:rsidP="003352A7">
      <w:pPr>
        <w:pStyle w:val="Standard"/>
        <w:spacing w:line="276" w:lineRule="auto"/>
        <w:rPr>
          <w:b/>
          <w:bCs/>
          <w:lang w:val="ru-RU"/>
        </w:rPr>
      </w:pPr>
    </w:p>
    <w:p w:rsidR="0076609D" w:rsidRDefault="0076609D" w:rsidP="003352A7">
      <w:pPr>
        <w:pStyle w:val="Standard"/>
        <w:keepNext/>
        <w:keepLines/>
        <w:spacing w:line="276" w:lineRule="auto"/>
        <w:ind w:firstLine="708"/>
        <w:jc w:val="both"/>
        <w:rPr>
          <w:lang w:val="ru-RU"/>
        </w:rPr>
      </w:pPr>
      <w:r>
        <w:rPr>
          <w:lang w:val="ru-RU"/>
        </w:rPr>
        <w:t>Заслухавши інформацію  про надання адміністративних послуг через управління Ц</w:t>
      </w:r>
      <w:r>
        <w:rPr>
          <w:bCs/>
          <w:lang w:val="ru-RU"/>
        </w:rPr>
        <w:t xml:space="preserve">ентр надання адміністративних послуг за </w:t>
      </w:r>
      <w:r>
        <w:rPr>
          <w:bCs/>
          <w:lang w:val="uk-UA"/>
        </w:rPr>
        <w:t xml:space="preserve">І півріччя </w:t>
      </w:r>
      <w:r>
        <w:rPr>
          <w:bCs/>
          <w:lang w:val="ru-RU"/>
        </w:rPr>
        <w:t>2021 р.</w:t>
      </w:r>
      <w:r>
        <w:rPr>
          <w:lang w:val="ru-RU"/>
        </w:rPr>
        <w:t xml:space="preserve">, керуючись Законом України “Про надання адміністративних послуг” </w:t>
      </w:r>
      <w:r>
        <w:rPr>
          <w:lang w:val="uk-UA"/>
        </w:rPr>
        <w:t>та Законом України «Про місцеве самоврядування в Україні»</w:t>
      </w:r>
      <w:r>
        <w:rPr>
          <w:lang w:val="ru-RU"/>
        </w:rPr>
        <w:t>,  виконавчий комітет Бучанськоїміської ради</w:t>
      </w:r>
    </w:p>
    <w:p w:rsidR="0076609D" w:rsidRPr="00E45AE2" w:rsidRDefault="0076609D" w:rsidP="003352A7">
      <w:pPr>
        <w:pStyle w:val="Standard"/>
        <w:keepNext/>
        <w:keepLines/>
        <w:spacing w:line="276" w:lineRule="auto"/>
        <w:ind w:firstLine="708"/>
        <w:jc w:val="both"/>
        <w:rPr>
          <w:lang w:val="ru-RU"/>
        </w:rPr>
      </w:pPr>
    </w:p>
    <w:p w:rsidR="0076609D" w:rsidRDefault="0076609D" w:rsidP="003352A7">
      <w:pPr>
        <w:pStyle w:val="Standard"/>
        <w:keepNext/>
        <w:keepLines/>
        <w:spacing w:line="276" w:lineRule="auto"/>
        <w:rPr>
          <w:b/>
          <w:bCs/>
          <w:lang w:val="ru-RU"/>
        </w:rPr>
      </w:pPr>
      <w:r>
        <w:rPr>
          <w:b/>
          <w:bCs/>
          <w:lang w:val="ru-RU"/>
        </w:rPr>
        <w:t>ВИРІШИВ :</w:t>
      </w:r>
    </w:p>
    <w:p w:rsidR="0076609D" w:rsidRDefault="0076609D" w:rsidP="003352A7">
      <w:pPr>
        <w:pStyle w:val="Standard"/>
        <w:keepNext/>
        <w:keepLines/>
        <w:spacing w:line="276" w:lineRule="auto"/>
        <w:rPr>
          <w:b/>
          <w:bCs/>
          <w:lang w:val="ru-RU"/>
        </w:rPr>
      </w:pPr>
    </w:p>
    <w:p w:rsidR="0076609D" w:rsidRPr="009C018F" w:rsidRDefault="0076609D" w:rsidP="003352A7">
      <w:pPr>
        <w:pStyle w:val="Standard"/>
        <w:keepNext/>
        <w:keepLines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lang w:val="ru-RU"/>
        </w:rPr>
      </w:pPr>
      <w:r>
        <w:rPr>
          <w:lang w:val="ru-RU"/>
        </w:rPr>
        <w:t xml:space="preserve">Інформацію </w:t>
      </w:r>
      <w:r>
        <w:rPr>
          <w:bCs/>
          <w:lang w:val="ru-RU"/>
        </w:rPr>
        <w:t>начальника у</w:t>
      </w:r>
      <w:r w:rsidRPr="00E45AE2">
        <w:rPr>
          <w:bCs/>
          <w:lang w:val="ru-RU"/>
        </w:rPr>
        <w:t>правління</w:t>
      </w:r>
      <w:r>
        <w:rPr>
          <w:bCs/>
          <w:lang w:val="ru-RU"/>
        </w:rPr>
        <w:t xml:space="preserve"> Центр надання адміністративних послуг Бучанськоїміської ради </w:t>
      </w:r>
      <w:r>
        <w:rPr>
          <w:lang w:val="ru-RU"/>
        </w:rPr>
        <w:t xml:space="preserve">про надання </w:t>
      </w:r>
      <w:r>
        <w:rPr>
          <w:lang w:val="uk-UA"/>
        </w:rPr>
        <w:t xml:space="preserve">адміністративних </w:t>
      </w:r>
      <w:r>
        <w:rPr>
          <w:lang w:val="ru-RU"/>
        </w:rPr>
        <w:t>послуг через управління Ц</w:t>
      </w:r>
      <w:r>
        <w:rPr>
          <w:bCs/>
          <w:lang w:val="ru-RU"/>
        </w:rPr>
        <w:t xml:space="preserve">ентр надання адміністративних послуг за  </w:t>
      </w:r>
      <w:r>
        <w:rPr>
          <w:bCs/>
          <w:lang w:val="uk-UA"/>
        </w:rPr>
        <w:t>І півріччя</w:t>
      </w:r>
      <w:r>
        <w:rPr>
          <w:bCs/>
          <w:lang w:val="ru-RU"/>
        </w:rPr>
        <w:t xml:space="preserve"> 2021р.</w:t>
      </w:r>
      <w:r>
        <w:rPr>
          <w:lang w:val="ru-RU"/>
        </w:rPr>
        <w:t>взяти до відома (додаток).</w:t>
      </w:r>
    </w:p>
    <w:p w:rsidR="0076609D" w:rsidRPr="00AD15B7" w:rsidRDefault="0076609D" w:rsidP="003352A7">
      <w:pPr>
        <w:pStyle w:val="Standard"/>
        <w:keepNext/>
        <w:keepLines/>
        <w:tabs>
          <w:tab w:val="left" w:pos="284"/>
        </w:tabs>
        <w:spacing w:line="276" w:lineRule="auto"/>
        <w:jc w:val="both"/>
        <w:rPr>
          <w:lang w:val="ru-RU"/>
        </w:rPr>
      </w:pPr>
    </w:p>
    <w:p w:rsidR="0076609D" w:rsidRDefault="0076609D" w:rsidP="003352A7">
      <w:pPr>
        <w:pStyle w:val="Standard"/>
        <w:keepNext/>
        <w:keepLines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hd w:val="clear" w:color="auto" w:fill="FFFFFF"/>
          <w:lang w:val="uk-UA"/>
        </w:rPr>
      </w:pPr>
      <w:r w:rsidRPr="009C018F">
        <w:rPr>
          <w:lang w:val="uk-UA"/>
        </w:rPr>
        <w:t>Управлінню Центр надання адміністративних послуг Бучанської</w:t>
      </w:r>
      <w:r>
        <w:rPr>
          <w:lang w:val="uk-UA"/>
        </w:rPr>
        <w:t xml:space="preserve"> міської ради  з</w:t>
      </w:r>
      <w:r w:rsidRPr="009C018F">
        <w:rPr>
          <w:rFonts w:cs="Times New Roman"/>
          <w:shd w:val="clear" w:color="auto" w:fill="FFFFFF"/>
          <w:lang w:val="uk-UA"/>
        </w:rPr>
        <w:t xml:space="preserve">абезпечити постійний моніторинг стану надання адміністративних послуг та вживати заходів щодо підвищення ефективності та якості надання адміністративних послуг. </w:t>
      </w:r>
    </w:p>
    <w:p w:rsidR="0076609D" w:rsidRPr="00C67840" w:rsidRDefault="0076609D" w:rsidP="003352A7">
      <w:pPr>
        <w:pStyle w:val="Standard"/>
        <w:spacing w:line="276" w:lineRule="auto"/>
        <w:jc w:val="both"/>
        <w:rPr>
          <w:rFonts w:cs="Times New Roman"/>
          <w:shd w:val="clear" w:color="auto" w:fill="FFFFFF"/>
          <w:lang w:val="uk-UA"/>
        </w:rPr>
      </w:pPr>
    </w:p>
    <w:p w:rsidR="0076609D" w:rsidRDefault="0076609D" w:rsidP="003352A7">
      <w:pPr>
        <w:pStyle w:val="Standard"/>
        <w:spacing w:line="276" w:lineRule="auto"/>
        <w:jc w:val="both"/>
        <w:rPr>
          <w:lang w:val="uk-UA"/>
        </w:rPr>
      </w:pPr>
      <w:r>
        <w:rPr>
          <w:rFonts w:cs="Times New Roman"/>
          <w:shd w:val="clear" w:color="auto" w:fill="FFFFFF"/>
          <w:lang w:val="ru-RU"/>
        </w:rPr>
        <w:t>3</w:t>
      </w:r>
      <w:r w:rsidRPr="00AD15B7">
        <w:rPr>
          <w:rFonts w:cs="Times New Roman"/>
          <w:shd w:val="clear" w:color="auto" w:fill="FFFFFF"/>
          <w:lang w:val="ru-RU"/>
        </w:rPr>
        <w:t xml:space="preserve">. </w:t>
      </w:r>
      <w:r>
        <w:rPr>
          <w:lang w:val="uk-UA"/>
        </w:rPr>
        <w:t xml:space="preserve">Контроль за виконанням рішення покласти на керуючого справами Бучанської міської ради </w:t>
      </w:r>
    </w:p>
    <w:p w:rsidR="0076609D" w:rsidRDefault="0076609D" w:rsidP="003352A7">
      <w:pPr>
        <w:pStyle w:val="Standard"/>
        <w:spacing w:line="276" w:lineRule="auto"/>
        <w:jc w:val="both"/>
        <w:rPr>
          <w:lang w:val="uk-UA"/>
        </w:rPr>
      </w:pPr>
      <w:r>
        <w:rPr>
          <w:lang w:val="uk-UA"/>
        </w:rPr>
        <w:t>Гапченка Д.О.</w:t>
      </w:r>
    </w:p>
    <w:p w:rsidR="0076609D" w:rsidRDefault="0076609D" w:rsidP="003352A7"/>
    <w:p w:rsidR="0076609D" w:rsidRDefault="0076609D" w:rsidP="003352A7">
      <w:pPr>
        <w:pStyle w:val="Standard"/>
        <w:rPr>
          <w:b/>
          <w:bCs/>
          <w:lang w:val="ru-RU"/>
        </w:rPr>
      </w:pPr>
      <w:r w:rsidRPr="00C67840">
        <w:rPr>
          <w:b/>
          <w:bCs/>
          <w:lang w:val="ru-RU"/>
        </w:rPr>
        <w:t>Міський голова</w:t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</w:r>
      <w:r w:rsidRPr="00C67840">
        <w:rPr>
          <w:b/>
          <w:bCs/>
          <w:lang w:val="ru-RU"/>
        </w:rPr>
        <w:tab/>
        <w:t xml:space="preserve">                                А.П. Федорук</w:t>
      </w:r>
    </w:p>
    <w:p w:rsidR="0076609D" w:rsidRDefault="0076609D" w:rsidP="003352A7">
      <w:pPr>
        <w:pStyle w:val="Standard"/>
        <w:rPr>
          <w:b/>
          <w:bCs/>
          <w:lang w:val="ru-RU"/>
        </w:rPr>
      </w:pPr>
    </w:p>
    <w:p w:rsidR="0076609D" w:rsidRPr="003352A7" w:rsidRDefault="0076609D" w:rsidP="003352A7">
      <w:pPr>
        <w:jc w:val="both"/>
        <w:rPr>
          <w:rFonts w:ascii="Times New Roman" w:hAnsi="Times New Roman"/>
          <w:sz w:val="24"/>
          <w:szCs w:val="24"/>
        </w:rPr>
      </w:pPr>
      <w:r w:rsidRPr="003352A7">
        <w:rPr>
          <w:rFonts w:ascii="Times New Roman" w:hAnsi="Times New Roman"/>
          <w:sz w:val="24"/>
          <w:szCs w:val="24"/>
        </w:rPr>
        <w:t>Заступник міського голови                                                                               С.А. Шепетько</w:t>
      </w:r>
    </w:p>
    <w:p w:rsidR="0076609D" w:rsidRPr="00AD15B7" w:rsidRDefault="0076609D" w:rsidP="003352A7">
      <w:pPr>
        <w:pStyle w:val="Standard"/>
        <w:rPr>
          <w:bCs/>
          <w:lang w:val="ru-RU"/>
        </w:rPr>
      </w:pPr>
      <w:r w:rsidRPr="00AD15B7">
        <w:rPr>
          <w:bCs/>
          <w:lang w:val="ru-RU"/>
        </w:rPr>
        <w:t>Керуючий справами</w:t>
      </w:r>
      <w:r w:rsidRPr="00AD15B7">
        <w:rPr>
          <w:bCs/>
          <w:lang w:val="ru-RU"/>
        </w:rPr>
        <w:tab/>
      </w:r>
      <w:r w:rsidRPr="00AD15B7">
        <w:rPr>
          <w:bCs/>
          <w:lang w:val="ru-RU"/>
        </w:rPr>
        <w:tab/>
      </w:r>
      <w:r w:rsidRPr="00AD15B7">
        <w:rPr>
          <w:bCs/>
          <w:lang w:val="ru-RU"/>
        </w:rPr>
        <w:tab/>
      </w:r>
      <w:r w:rsidRPr="00AD15B7">
        <w:rPr>
          <w:bCs/>
          <w:lang w:val="ru-RU"/>
        </w:rPr>
        <w:tab/>
      </w:r>
      <w:r w:rsidRPr="00AD15B7"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 xml:space="preserve">       </w:t>
      </w:r>
      <w:r w:rsidRPr="00AD15B7">
        <w:rPr>
          <w:bCs/>
          <w:lang w:val="ru-RU"/>
        </w:rPr>
        <w:t>Д.О. Гапченко</w:t>
      </w:r>
    </w:p>
    <w:p w:rsidR="0076609D" w:rsidRPr="00AD15B7" w:rsidRDefault="0076609D" w:rsidP="003352A7">
      <w:pPr>
        <w:pStyle w:val="Standard"/>
        <w:jc w:val="both"/>
        <w:rPr>
          <w:bCs/>
          <w:lang w:val="ru-RU"/>
        </w:rPr>
      </w:pPr>
    </w:p>
    <w:p w:rsidR="0076609D" w:rsidRPr="00903360" w:rsidRDefault="0076609D" w:rsidP="003352A7">
      <w:pPr>
        <w:pStyle w:val="Standard"/>
        <w:jc w:val="both"/>
        <w:rPr>
          <w:bCs/>
          <w:lang w:val="ru-RU"/>
        </w:rPr>
      </w:pPr>
      <w:r w:rsidRPr="00903360">
        <w:rPr>
          <w:bCs/>
          <w:lang w:val="ru-RU"/>
        </w:rPr>
        <w:t>Погоджено:</w:t>
      </w:r>
    </w:p>
    <w:p w:rsidR="0076609D" w:rsidRDefault="0076609D" w:rsidP="003352A7">
      <w:pPr>
        <w:pStyle w:val="Standard"/>
        <w:jc w:val="both"/>
        <w:rPr>
          <w:bCs/>
          <w:lang w:val="ru-RU"/>
        </w:rPr>
      </w:pPr>
    </w:p>
    <w:p w:rsidR="0076609D" w:rsidRDefault="0076609D" w:rsidP="003352A7">
      <w:pPr>
        <w:pStyle w:val="Standard"/>
        <w:jc w:val="both"/>
        <w:rPr>
          <w:lang w:val="ru-RU"/>
        </w:rPr>
      </w:pPr>
      <w:r>
        <w:rPr>
          <w:lang w:val="ru-RU"/>
        </w:rPr>
        <w:t>Начальник управлінняюридично-</w:t>
      </w:r>
    </w:p>
    <w:p w:rsidR="0076609D" w:rsidRPr="00185C10" w:rsidRDefault="0076609D" w:rsidP="003352A7">
      <w:pPr>
        <w:pStyle w:val="Standard"/>
        <w:jc w:val="both"/>
        <w:rPr>
          <w:lang w:val="ru-RU"/>
        </w:rPr>
      </w:pPr>
      <w:r>
        <w:rPr>
          <w:lang w:val="ru-RU"/>
        </w:rPr>
        <w:t>кадровоїроботи                                                                                                  Л.В. Риженко</w:t>
      </w:r>
    </w:p>
    <w:p w:rsidR="0076609D" w:rsidRDefault="0076609D" w:rsidP="003352A7">
      <w:pPr>
        <w:pStyle w:val="Standard"/>
        <w:tabs>
          <w:tab w:val="right" w:pos="9355"/>
        </w:tabs>
        <w:rPr>
          <w:lang w:val="ru-RU"/>
        </w:rPr>
      </w:pPr>
    </w:p>
    <w:p w:rsidR="0076609D" w:rsidRPr="00903360" w:rsidRDefault="0076609D" w:rsidP="003352A7">
      <w:pPr>
        <w:pStyle w:val="Standard"/>
        <w:tabs>
          <w:tab w:val="right" w:pos="9355"/>
        </w:tabs>
        <w:rPr>
          <w:bCs/>
          <w:lang w:val="ru-RU"/>
        </w:rPr>
      </w:pPr>
      <w:r w:rsidRPr="00903360">
        <w:rPr>
          <w:bCs/>
          <w:lang w:val="ru-RU"/>
        </w:rPr>
        <w:t>Подання:</w:t>
      </w:r>
    </w:p>
    <w:p w:rsidR="0076609D" w:rsidRPr="00AD15B7" w:rsidRDefault="0076609D" w:rsidP="003352A7">
      <w:pPr>
        <w:pStyle w:val="Standard"/>
        <w:tabs>
          <w:tab w:val="right" w:pos="9355"/>
        </w:tabs>
        <w:rPr>
          <w:bCs/>
          <w:lang w:val="ru-RU"/>
        </w:rPr>
      </w:pPr>
      <w:r w:rsidRPr="00AD15B7">
        <w:rPr>
          <w:bCs/>
          <w:lang w:val="ru-RU"/>
        </w:rPr>
        <w:tab/>
      </w:r>
    </w:p>
    <w:p w:rsidR="0076609D" w:rsidRPr="006E7349" w:rsidRDefault="0076609D" w:rsidP="003352A7">
      <w:pPr>
        <w:pStyle w:val="Standard"/>
        <w:rPr>
          <w:lang w:val="uk-UA"/>
        </w:rPr>
      </w:pPr>
      <w:r>
        <w:rPr>
          <w:lang w:val="ru-RU"/>
        </w:rPr>
        <w:t>Начальник управління ЦНАП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             О.В. Михальчук</w:t>
      </w:r>
    </w:p>
    <w:p w:rsidR="0076609D" w:rsidRDefault="0076609D" w:rsidP="00E36FD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812">
        <w:rPr>
          <w:rFonts w:ascii="Times New Roman" w:hAnsi="Times New Roman"/>
          <w:sz w:val="24"/>
          <w:szCs w:val="24"/>
        </w:rPr>
        <w:t>Додаток</w:t>
      </w:r>
    </w:p>
    <w:p w:rsidR="0076609D" w:rsidRDefault="0076609D" w:rsidP="00E36FD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виконавчого комітету</w:t>
      </w:r>
    </w:p>
    <w:p w:rsidR="0076609D" w:rsidRPr="00961812" w:rsidRDefault="0076609D" w:rsidP="00961812">
      <w:pPr>
        <w:spacing w:after="0"/>
        <w:ind w:right="-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«__20__»___</w:t>
      </w:r>
      <w:r w:rsidRPr="00AD5EA6">
        <w:rPr>
          <w:rFonts w:ascii="Times New Roman" w:hAnsi="Times New Roman"/>
          <w:sz w:val="24"/>
          <w:szCs w:val="24"/>
          <w:u w:val="single"/>
        </w:rPr>
        <w:t>липня</w:t>
      </w:r>
      <w:r>
        <w:rPr>
          <w:rFonts w:ascii="Times New Roman" w:hAnsi="Times New Roman"/>
          <w:sz w:val="24"/>
          <w:szCs w:val="24"/>
        </w:rPr>
        <w:t>___№_</w:t>
      </w:r>
      <w:r w:rsidRPr="00AD5EA6">
        <w:rPr>
          <w:rFonts w:ascii="Times New Roman" w:hAnsi="Times New Roman"/>
          <w:sz w:val="24"/>
          <w:szCs w:val="24"/>
          <w:u w:val="single"/>
        </w:rPr>
        <w:t>468</w:t>
      </w:r>
      <w:r>
        <w:rPr>
          <w:rFonts w:ascii="Times New Roman" w:hAnsi="Times New Roman"/>
          <w:sz w:val="24"/>
          <w:szCs w:val="24"/>
        </w:rPr>
        <w:t>__</w:t>
      </w:r>
    </w:p>
    <w:p w:rsidR="0076609D" w:rsidRPr="00F754D5" w:rsidRDefault="0076609D" w:rsidP="00961812">
      <w:pPr>
        <w:spacing w:after="0"/>
        <w:ind w:right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754D5">
        <w:rPr>
          <w:rFonts w:ascii="Times New Roman" w:hAnsi="Times New Roman"/>
          <w:b/>
          <w:sz w:val="24"/>
          <w:szCs w:val="24"/>
          <w:u w:val="single"/>
        </w:rPr>
        <w:t xml:space="preserve">Інформація: </w:t>
      </w:r>
    </w:p>
    <w:p w:rsidR="0076609D" w:rsidRPr="00F754D5" w:rsidRDefault="0076609D" w:rsidP="00961812">
      <w:pPr>
        <w:spacing w:after="0"/>
        <w:ind w:right="567"/>
        <w:jc w:val="center"/>
        <w:rPr>
          <w:rFonts w:ascii="Times New Roman" w:hAnsi="Times New Roman"/>
          <w:b/>
          <w:sz w:val="24"/>
          <w:szCs w:val="24"/>
        </w:rPr>
      </w:pPr>
      <w:r w:rsidRPr="00F754D5">
        <w:rPr>
          <w:rFonts w:ascii="Times New Roman" w:hAnsi="Times New Roman"/>
          <w:b/>
          <w:sz w:val="24"/>
          <w:szCs w:val="24"/>
        </w:rPr>
        <w:t>«Про надання адміністративних послуг через управління Центр надання адміністративних послуг протягом І півріччя 2021 року»</w:t>
      </w:r>
    </w:p>
    <w:p w:rsidR="0076609D" w:rsidRPr="00F754D5" w:rsidRDefault="0076609D" w:rsidP="00961812">
      <w:pPr>
        <w:spacing w:after="0"/>
        <w:ind w:right="567"/>
        <w:jc w:val="center"/>
        <w:rPr>
          <w:rFonts w:ascii="Times New Roman" w:hAnsi="Times New Roman"/>
          <w:b/>
          <w:sz w:val="24"/>
          <w:szCs w:val="24"/>
        </w:rPr>
      </w:pPr>
    </w:p>
    <w:p w:rsidR="0076609D" w:rsidRPr="00F754D5" w:rsidRDefault="0076609D" w:rsidP="0096181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У І півріччі 2021 року Управління ЦНАП працювало над організацією надання якісних адміністративних послуг, спрощенням процедури їх отримання, розширення переліку адміністративних послуг та вдосконаленням своєї роботи відповідно до вимог чинного законодавства.</w:t>
      </w:r>
    </w:p>
    <w:p w:rsidR="0076609D" w:rsidRPr="00F754D5" w:rsidRDefault="0076609D" w:rsidP="00961812">
      <w:pPr>
        <w:pStyle w:val="ListParagraph"/>
        <w:widowControl w:val="0"/>
        <w:tabs>
          <w:tab w:val="left" w:pos="993"/>
        </w:tabs>
        <w:snapToGri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Відповідно до рішенням міської ради від 24.10.2019 № 1047-67-</w:t>
      </w:r>
      <w:r w:rsidRPr="00F754D5">
        <w:rPr>
          <w:rFonts w:ascii="Times New Roman" w:hAnsi="Times New Roman"/>
          <w:sz w:val="24"/>
          <w:szCs w:val="24"/>
          <w:lang w:val="en-US"/>
        </w:rPr>
        <w:t>V</w:t>
      </w:r>
      <w:r w:rsidRPr="00F754D5">
        <w:rPr>
          <w:rFonts w:ascii="Times New Roman" w:hAnsi="Times New Roman"/>
          <w:sz w:val="24"/>
          <w:szCs w:val="24"/>
        </w:rPr>
        <w:t>-</w:t>
      </w:r>
      <w:r w:rsidRPr="00F754D5">
        <w:rPr>
          <w:rFonts w:ascii="Times New Roman" w:hAnsi="Times New Roman"/>
          <w:sz w:val="24"/>
          <w:szCs w:val="24"/>
          <w:lang w:val="en-US"/>
        </w:rPr>
        <w:t>II</w:t>
      </w:r>
      <w:r w:rsidRPr="00F754D5">
        <w:rPr>
          <w:rFonts w:ascii="Times New Roman" w:hAnsi="Times New Roman"/>
          <w:sz w:val="24"/>
          <w:szCs w:val="24"/>
        </w:rPr>
        <w:t xml:space="preserve">  «Про затвердження переліку адміністративних послуг, які надаються через Центр надання адміністративних послуг Бучанської міської ради» в управлінні ЦНАП надається 201 адміністративна послуга.</w:t>
      </w:r>
    </w:p>
    <w:p w:rsidR="0076609D" w:rsidRPr="00F754D5" w:rsidRDefault="0076609D" w:rsidP="00961812">
      <w:pPr>
        <w:pStyle w:val="ListParagraph"/>
        <w:widowControl w:val="0"/>
        <w:tabs>
          <w:tab w:val="left" w:pos="993"/>
        </w:tabs>
        <w:snapToGri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 xml:space="preserve"> З них, 137 послуг, рекомендованих розпорядженням Кабінету Міністрів України від 16.05.2014 №523-р «Деякі питання надання адміністративних послуг органів виконавчої влади через центри надання адміністративних послуг».</w:t>
      </w:r>
    </w:p>
    <w:p w:rsidR="0076609D" w:rsidRPr="00F754D5" w:rsidRDefault="0076609D" w:rsidP="00961812">
      <w:pPr>
        <w:pStyle w:val="ListParagraph"/>
        <w:widowControl w:val="0"/>
        <w:tabs>
          <w:tab w:val="left" w:pos="993"/>
        </w:tabs>
        <w:snapToGri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Протягом І півріччя  до Управління ЦНАП надійшло 17272звернень від громадян та суб’єктів господарювання щодо отримання адміністративних послуг послуг.</w:t>
      </w:r>
    </w:p>
    <w:p w:rsidR="0076609D" w:rsidRPr="00F754D5" w:rsidRDefault="0076609D" w:rsidP="00961812">
      <w:pPr>
        <w:widowControl w:val="0"/>
        <w:tabs>
          <w:tab w:val="left" w:pos="993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Запити на публічну інформацію – 2.</w:t>
      </w:r>
    </w:p>
    <w:p w:rsidR="0076609D" w:rsidRPr="00F754D5" w:rsidRDefault="0076609D" w:rsidP="0096181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Варто відмітити, що із загальної кількості адміністративних послуг, 17048 послуг були надані з позитивним результатом, кількість відмов –224, що становить 1,3% від загальної кількості звернень.</w:t>
      </w:r>
    </w:p>
    <w:p w:rsidR="0076609D" w:rsidRPr="00F754D5" w:rsidRDefault="0076609D" w:rsidP="0096181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  <w:shd w:val="clear" w:color="auto" w:fill="FFFFFF"/>
        </w:rPr>
        <w:t>Зменшення кількості відмов свідчить про підвищення якості надання адміністративних послуг та кваліфіковане обслуговування адміністраторами Центру суб’єктів звернень на етапі підготовки та подачі документів. </w:t>
      </w:r>
    </w:p>
    <w:p w:rsidR="0076609D" w:rsidRPr="00F754D5" w:rsidRDefault="0076609D" w:rsidP="0096181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Надано консультацій як в телефонному та он-лайн  режимі, а також особисто адміністраторами ЦНАП- 5757.</w:t>
      </w:r>
    </w:p>
    <w:p w:rsidR="0076609D" w:rsidRPr="00F754D5" w:rsidRDefault="0076609D" w:rsidP="00961812">
      <w:pPr>
        <w:pStyle w:val="NormalWeb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F754D5">
        <w:rPr>
          <w:color w:val="333333"/>
        </w:rPr>
        <w:t xml:space="preserve">  </w:t>
      </w:r>
      <w:r w:rsidRPr="00F754D5">
        <w:t>У звітному періоді за платні послуги, з яких  стягується адміністративний збір, до місцевого бюджету надійшло коштів на суму близько1 700 000 грн.</w:t>
      </w:r>
    </w:p>
    <w:p w:rsidR="0076609D" w:rsidRPr="00F754D5" w:rsidRDefault="0076609D" w:rsidP="00961812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</w:pPr>
      <w:r w:rsidRPr="00F754D5">
        <w:rPr>
          <w:color w:val="333333"/>
          <w:shd w:val="clear" w:color="auto" w:fill="FFFFFF"/>
        </w:rPr>
        <w:t> </w:t>
      </w:r>
      <w:r w:rsidRPr="00F754D5">
        <w:t xml:space="preserve">         Найбільшим попитом серед населення громади  у 1 кварталі 2021 року користувались послуги щодо реєстрації місця проживання/зняття з реєстрації місця проживання, видача довідок про реєстрацію місця проживання та паспортні послуги (виготовлення закордонних паспортів, </w:t>
      </w:r>
      <w:r w:rsidRPr="00F754D5">
        <w:rPr>
          <w:lang w:val="en-US"/>
        </w:rPr>
        <w:t>ID</w:t>
      </w:r>
      <w:r w:rsidRPr="00F754D5">
        <w:t>-картки, вклейка фото -25,-45 років ), що становить 68% від загальної кількості звернень.</w:t>
      </w:r>
    </w:p>
    <w:p w:rsidR="0076609D" w:rsidRPr="00F754D5" w:rsidRDefault="0076609D" w:rsidP="00961812">
      <w:pPr>
        <w:pStyle w:val="NormalWeb"/>
        <w:shd w:val="clear" w:color="auto" w:fill="FFFFFF"/>
        <w:spacing w:before="0" w:beforeAutospacing="0" w:after="0" w:afterAutospacing="0" w:line="276" w:lineRule="auto"/>
        <w:ind w:right="567"/>
        <w:jc w:val="both"/>
      </w:pPr>
      <w:r w:rsidRPr="00F754D5">
        <w:t>По іншим напрямкам: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5"/>
        <w:gridCol w:w="4362"/>
        <w:gridCol w:w="2205"/>
        <w:gridCol w:w="2202"/>
      </w:tblGrid>
      <w:tr w:rsidR="0076609D" w:rsidRPr="0071340B" w:rsidTr="0071340B">
        <w:tc>
          <w:tcPr>
            <w:tcW w:w="108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b/>
              </w:rPr>
            </w:pPr>
            <w:r w:rsidRPr="0071340B">
              <w:rPr>
                <w:b/>
              </w:rPr>
              <w:t>№ з/п</w:t>
            </w:r>
          </w:p>
        </w:tc>
        <w:tc>
          <w:tcPr>
            <w:tcW w:w="4363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Напрямки адміністративних послуг</w:t>
            </w:r>
          </w:p>
        </w:tc>
        <w:tc>
          <w:tcPr>
            <w:tcW w:w="220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Кількість наданих послуг</w:t>
            </w:r>
          </w:p>
        </w:tc>
        <w:tc>
          <w:tcPr>
            <w:tcW w:w="2202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% від загальної кількості наданих послуг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Реєстрація місця проживання/зняття з реєстрації місця проживання, видача довідок про реєстрацію місця проживання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6520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38%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2.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 xml:space="preserve">Паспортні послуги (виготовлення закордонних паспортів, </w:t>
            </w:r>
            <w:r w:rsidRPr="0071340B">
              <w:rPr>
                <w:lang w:val="en-US"/>
              </w:rPr>
              <w:t>ID</w:t>
            </w:r>
            <w:r w:rsidRPr="0071340B">
              <w:rPr>
                <w:lang w:val="ru-RU"/>
              </w:rPr>
              <w:t>-</w:t>
            </w:r>
            <w:r w:rsidRPr="00F754D5">
              <w:t>картки, вклейка фото -25,-45 років )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5265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30%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Послуги Держгеокадастру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1793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10%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4.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Державна реєстрація нерухомого майна та їх обтяжень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1333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8%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5.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Послуги у сфері містобудування та будівництва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658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4%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6.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Державна реєстрація юридичних осіб,  фізичних осіб-підприємців та громадських формувань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493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7.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Послуги державного архітектурного-будівельного контролю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477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8.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Власні земельні послуги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305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2%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9.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Послуги у сфері опіки та піклування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194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10.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Документи дозвільного характеру та послуги місцево</w:t>
            </w:r>
            <w:r>
              <w:t>го значення (юридичні послуги, Б</w:t>
            </w:r>
            <w:bookmarkStart w:id="0" w:name="_GoBack"/>
            <w:bookmarkEnd w:id="0"/>
            <w:r w:rsidRPr="00F754D5">
              <w:t>лагоустрій, Бучазеленбуд тощо )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234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11.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Кількість відмов у наданні послуг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224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1,4%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12.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Всього наданих адміністративних послуг</w:t>
            </w:r>
          </w:p>
        </w:tc>
        <w:tc>
          <w:tcPr>
            <w:tcW w:w="4407" w:type="dxa"/>
            <w:gridSpan w:val="2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17272</w:t>
            </w: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13.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Кількість наданих послуг ВРМ адміністраторів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4237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</w:p>
        </w:tc>
      </w:tr>
      <w:tr w:rsidR="0076609D" w:rsidRPr="0071340B" w:rsidTr="0071340B">
        <w:tc>
          <w:tcPr>
            <w:tcW w:w="108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14.</w:t>
            </w:r>
          </w:p>
        </w:tc>
        <w:tc>
          <w:tcPr>
            <w:tcW w:w="4363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Кількість наданих консультацій</w:t>
            </w:r>
          </w:p>
        </w:tc>
        <w:tc>
          <w:tcPr>
            <w:tcW w:w="2205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F754D5">
              <w:t>5757</w:t>
            </w:r>
          </w:p>
        </w:tc>
        <w:tc>
          <w:tcPr>
            <w:tcW w:w="2202" w:type="dxa"/>
          </w:tcPr>
          <w:p w:rsidR="0076609D" w:rsidRPr="00F754D5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</w:p>
        </w:tc>
      </w:tr>
    </w:tbl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</w:pPr>
    </w:p>
    <w:p w:rsidR="0076609D" w:rsidRDefault="0076609D" w:rsidP="00116664">
      <w:pPr>
        <w:pStyle w:val="NormalWeb"/>
        <w:shd w:val="clear" w:color="auto" w:fill="FFFFFF"/>
        <w:spacing w:before="0" w:beforeAutospacing="0" w:after="135" w:afterAutospacing="0"/>
        <w:ind w:right="567"/>
        <w:jc w:val="both"/>
        <w:rPr>
          <w:sz w:val="28"/>
          <w:szCs w:val="28"/>
        </w:rPr>
      </w:pPr>
      <w:r w:rsidRPr="0071340B">
        <w:rPr>
          <w:noProof/>
          <w:sz w:val="28"/>
          <w:szCs w:val="28"/>
          <w:lang w:val="ru-RU" w:eastAsia="ru-RU"/>
        </w:rPr>
        <w:pict>
          <v:shape id="Диаграмма 1" o:spid="_x0000_i1026" type="#_x0000_t75" style="width:483.75pt;height:235.5pt;visibility:visible">
            <v:imagedata r:id="rId6" o:title="" cropbottom="-28f"/>
            <o:lock v:ext="edit" aspectratio="f"/>
          </v:shape>
        </w:pict>
      </w:r>
    </w:p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</w:pPr>
    </w:p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</w:pPr>
    </w:p>
    <w:p w:rsidR="0076609D" w:rsidRPr="00116664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  <w:rPr>
          <w:b/>
        </w:rPr>
      </w:pPr>
      <w:r w:rsidRPr="00116664">
        <w:rPr>
          <w:b/>
        </w:rPr>
        <w:t>Інформація по старостинським округам: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4327"/>
        <w:gridCol w:w="2198"/>
        <w:gridCol w:w="2194"/>
      </w:tblGrid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b/>
                <w:sz w:val="28"/>
                <w:szCs w:val="28"/>
              </w:rPr>
            </w:pPr>
            <w:r w:rsidRPr="0071340B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328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ВРМ адміністраторів старостинських округів</w:t>
            </w:r>
          </w:p>
        </w:tc>
        <w:tc>
          <w:tcPr>
            <w:tcW w:w="2198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Кількість наданих послуг</w:t>
            </w:r>
          </w:p>
        </w:tc>
        <w:tc>
          <w:tcPr>
            <w:tcW w:w="2194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71340B">
              <w:rPr>
                <w:b/>
              </w:rPr>
              <w:t>% від загальної кількості наданих послуг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1.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Бабинецькийстаростинський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509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12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2.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Блиставицькийстаростинський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221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5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3.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Ворзельський 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1411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33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4.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Гаврилівськийстаростинський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712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17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5.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Здвижівськийстаростинський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234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6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6.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Мироцькийстаростинський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139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0652C3">
              <w:t>3%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7.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Луб</w:t>
            </w:r>
            <w:r w:rsidRPr="0071340B">
              <w:rPr>
                <w:lang w:val="en-US"/>
              </w:rPr>
              <w:t>’</w:t>
            </w:r>
            <w:r>
              <w:t>янськийстаростинський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244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6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71340B">
              <w:rPr>
                <w:sz w:val="28"/>
                <w:szCs w:val="28"/>
              </w:rPr>
              <w:t>8.</w:t>
            </w:r>
          </w:p>
        </w:tc>
        <w:tc>
          <w:tcPr>
            <w:tcW w:w="432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 w:rsidRPr="0071340B">
              <w:rPr>
                <w:lang w:val="ru-RU"/>
              </w:rPr>
              <w:t>Синяківський</w:t>
            </w:r>
            <w:r>
              <w:t>старостинський округ</w:t>
            </w:r>
          </w:p>
        </w:tc>
        <w:tc>
          <w:tcPr>
            <w:tcW w:w="2198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767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18</w:t>
            </w:r>
            <w:r w:rsidRPr="000652C3">
              <w:t>%</w:t>
            </w:r>
          </w:p>
        </w:tc>
      </w:tr>
      <w:tr w:rsidR="0076609D" w:rsidRPr="0071340B" w:rsidTr="0071340B">
        <w:tc>
          <w:tcPr>
            <w:tcW w:w="1135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</w:p>
        </w:tc>
        <w:tc>
          <w:tcPr>
            <w:tcW w:w="4328" w:type="dxa"/>
          </w:tcPr>
          <w:p w:rsidR="0076609D" w:rsidRPr="0071340B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  <w:rPr>
                <w:lang w:val="ru-RU"/>
              </w:rPr>
            </w:pPr>
            <w:r w:rsidRPr="0071340B">
              <w:rPr>
                <w:lang w:val="ru-RU"/>
              </w:rPr>
              <w:t>ВСЬОГО</w:t>
            </w:r>
          </w:p>
        </w:tc>
        <w:tc>
          <w:tcPr>
            <w:tcW w:w="2198" w:type="dxa"/>
          </w:tcPr>
          <w:p w:rsidR="0076609D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4237</w:t>
            </w:r>
          </w:p>
        </w:tc>
        <w:tc>
          <w:tcPr>
            <w:tcW w:w="2194" w:type="dxa"/>
          </w:tcPr>
          <w:p w:rsidR="0076609D" w:rsidRPr="000652C3" w:rsidRDefault="0076609D" w:rsidP="0071340B">
            <w:pPr>
              <w:pStyle w:val="NormalWeb"/>
              <w:spacing w:before="0" w:beforeAutospacing="0" w:after="135" w:afterAutospacing="0"/>
              <w:ind w:right="567"/>
              <w:jc w:val="both"/>
            </w:pPr>
            <w:r>
              <w:t>100%</w:t>
            </w:r>
          </w:p>
        </w:tc>
      </w:tr>
    </w:tbl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  <w:rPr>
          <w:sz w:val="28"/>
          <w:szCs w:val="28"/>
        </w:rPr>
      </w:pPr>
    </w:p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  <w:rPr>
          <w:sz w:val="28"/>
          <w:szCs w:val="28"/>
        </w:rPr>
      </w:pPr>
      <w:r w:rsidRPr="0071340B">
        <w:rPr>
          <w:noProof/>
          <w:lang w:val="ru-RU" w:eastAsia="ru-RU"/>
        </w:rPr>
        <w:pict>
          <v:shape id="Диаграмма 3" o:spid="_x0000_i1027" type="#_x0000_t75" style="width:476.25pt;height:311.25pt;visibility:visible">
            <v:imagedata r:id="rId7" o:title=""/>
            <o:lock v:ext="edit" aspectratio="f"/>
          </v:shape>
        </w:pict>
      </w:r>
    </w:p>
    <w:p w:rsidR="0076609D" w:rsidRDefault="0076609D" w:rsidP="00961812">
      <w:pPr>
        <w:pStyle w:val="NormalWeb"/>
        <w:shd w:val="clear" w:color="auto" w:fill="FFFFFF"/>
        <w:spacing w:before="0" w:beforeAutospacing="0" w:after="135" w:afterAutospacing="0"/>
        <w:ind w:right="567"/>
        <w:jc w:val="both"/>
        <w:rPr>
          <w:sz w:val="28"/>
          <w:szCs w:val="28"/>
        </w:rPr>
      </w:pPr>
    </w:p>
    <w:p w:rsidR="0076609D" w:rsidRPr="00F754D5" w:rsidRDefault="0076609D" w:rsidP="0096181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У І півріччі 2021 року управління ЦНАП працювало над вдосконаленням своєї роботи, підвищення ефективності та якості надання адміністративних послуг: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відновлено зручний графік роботи для відвідувачів (один день в тиждень – четвер з 8:00 до 20:00) 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відновлено роботу електронної черги;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у секторі інформування управління ЦНАП розміщено інформаційний бокс, який працює у тестовому режимі. За допомогою інформаційного боксу громадяни можуть он-лайн ознайомитися із роботою управління ЦНАП,переліком послуг, графіком роботи, порядком отримання адміністративних послуг, інформаційними картками тощо;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 xml:space="preserve">заключенодоговір  із АТ «Ощадбанк» щодо користування </w:t>
      </w:r>
      <w:r w:rsidRPr="00F754D5">
        <w:rPr>
          <w:rFonts w:ascii="Times New Roman" w:hAnsi="Times New Roman"/>
          <w:sz w:val="24"/>
          <w:szCs w:val="24"/>
          <w:lang w:val="en-US"/>
        </w:rPr>
        <w:t>POS</w:t>
      </w:r>
      <w:r w:rsidRPr="00F754D5">
        <w:rPr>
          <w:rFonts w:ascii="Times New Roman" w:hAnsi="Times New Roman"/>
          <w:sz w:val="24"/>
          <w:szCs w:val="24"/>
          <w:lang w:val="ru-RU"/>
        </w:rPr>
        <w:t>-</w:t>
      </w:r>
      <w:r w:rsidRPr="00F754D5">
        <w:rPr>
          <w:rFonts w:ascii="Times New Roman" w:hAnsi="Times New Roman"/>
          <w:sz w:val="24"/>
          <w:szCs w:val="24"/>
        </w:rPr>
        <w:t xml:space="preserve"> терміналами для оплати адміністративного збору за надання адміністративних послуг;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розширено та впорядковано у відповідності вимог законодавства та рекомендацій Міністерства цифрової трансформації України перелік адміністративних послуг, затвердження якого має відбутися на найближчій сесії міської ради;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спільно із структурними підрозділами міської ради, а також суб’єктами надання адміністративних послуг упорядковано та оновлено інформаційні та технологічні картки адміністративних послуг;</w:t>
      </w:r>
    </w:p>
    <w:p w:rsidR="0076609D" w:rsidRPr="00F754D5" w:rsidRDefault="0076609D" w:rsidP="00961812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54D5">
        <w:rPr>
          <w:rFonts w:ascii="Times New Roman" w:hAnsi="Times New Roman"/>
          <w:sz w:val="24"/>
          <w:szCs w:val="24"/>
        </w:rPr>
        <w:t>на сайті Бучанської міської ради, а також у інших ЗМІ, по мірі необхідності, висвітлювалася інформаційно-консультаційна інформація щодо діяльності управління ЦНАП та порядку отримання адміністративних послуг, новини у сфері адмін</w:t>
      </w:r>
      <w:r>
        <w:rPr>
          <w:rFonts w:ascii="Times New Roman" w:hAnsi="Times New Roman"/>
          <w:sz w:val="24"/>
          <w:szCs w:val="24"/>
        </w:rPr>
        <w:t xml:space="preserve">істративних </w:t>
      </w:r>
      <w:r w:rsidRPr="00F754D5">
        <w:rPr>
          <w:rFonts w:ascii="Times New Roman" w:hAnsi="Times New Roman"/>
          <w:sz w:val="24"/>
          <w:szCs w:val="24"/>
        </w:rPr>
        <w:t>послуг.</w:t>
      </w:r>
    </w:p>
    <w:p w:rsidR="0076609D" w:rsidRPr="00F754D5" w:rsidRDefault="0076609D" w:rsidP="00961812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754D5">
        <w:rPr>
          <w:rFonts w:ascii="Times New Roman" w:hAnsi="Times New Roman"/>
          <w:sz w:val="24"/>
          <w:szCs w:val="24"/>
          <w:shd w:val="clear" w:color="auto" w:fill="FFFFFF"/>
        </w:rPr>
        <w:t>Центр постійно удосконалює свою роботу, розширює спектр послуг та забезпечує комфортне та якісне обслуговування відвідувачів.</w:t>
      </w:r>
    </w:p>
    <w:p w:rsidR="0076609D" w:rsidRPr="00F754D5" w:rsidRDefault="0076609D" w:rsidP="00961812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609D" w:rsidRPr="00F754D5" w:rsidRDefault="0076609D" w:rsidP="009618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754D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У ІІ півріччі 2021року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управлінням ЦНАП </w:t>
      </w:r>
      <w:r w:rsidRPr="00F754D5">
        <w:rPr>
          <w:rFonts w:ascii="Times New Roman" w:hAnsi="Times New Roman"/>
          <w:b/>
          <w:sz w:val="24"/>
          <w:szCs w:val="24"/>
          <w:shd w:val="clear" w:color="auto" w:fill="FFFFFF"/>
        </w:rPr>
        <w:t>планується:</w:t>
      </w:r>
    </w:p>
    <w:p w:rsidR="0076609D" w:rsidRPr="00F754D5" w:rsidRDefault="0076609D" w:rsidP="00961812">
      <w:pPr>
        <w:pStyle w:val="ListParagraph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З</w:t>
      </w:r>
      <w:r w:rsidRPr="00F754D5">
        <w:rPr>
          <w:rFonts w:ascii="Times New Roman" w:hAnsi="Times New Roman"/>
          <w:sz w:val="24"/>
          <w:szCs w:val="24"/>
          <w:shd w:val="clear" w:color="auto" w:fill="FFFFFF"/>
        </w:rPr>
        <w:t>атвердити більш розширений перелік адміністративних послуг, що надаватимуться через управління ЦНАП;</w:t>
      </w:r>
    </w:p>
    <w:p w:rsidR="0076609D" w:rsidRPr="00F754D5" w:rsidRDefault="0076609D" w:rsidP="00961812">
      <w:pPr>
        <w:pStyle w:val="ListParagraph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754D5">
        <w:rPr>
          <w:rFonts w:ascii="Times New Roman" w:hAnsi="Times New Roman"/>
          <w:sz w:val="24"/>
          <w:szCs w:val="24"/>
        </w:rPr>
        <w:t>апровадити он-лайн реєстрацію в чергу, а також вдосконалити існуючу електронну чергу, збільшити її функціонал;</w:t>
      </w:r>
    </w:p>
    <w:p w:rsidR="0076609D" w:rsidRPr="00F754D5" w:rsidRDefault="0076609D" w:rsidP="00961812">
      <w:pPr>
        <w:pStyle w:val="ListParagraph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754D5">
        <w:rPr>
          <w:rFonts w:ascii="Times New Roman" w:hAnsi="Times New Roman"/>
          <w:sz w:val="24"/>
          <w:szCs w:val="24"/>
        </w:rPr>
        <w:t>апровадження он-лайн консультування громадян за допомогою сучасного  муніципального чат-боту ;</w:t>
      </w:r>
    </w:p>
    <w:p w:rsidR="0076609D" w:rsidRPr="00F754D5" w:rsidRDefault="0076609D" w:rsidP="00961812">
      <w:pPr>
        <w:pStyle w:val="ListParagraph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754D5">
        <w:rPr>
          <w:rFonts w:ascii="Times New Roman" w:hAnsi="Times New Roman"/>
          <w:sz w:val="24"/>
          <w:szCs w:val="24"/>
        </w:rPr>
        <w:t>родовжити заходи щодо популяризації отримання адміністративних послуг в електронному вигляді.</w:t>
      </w:r>
    </w:p>
    <w:p w:rsidR="0076609D" w:rsidRDefault="0076609D" w:rsidP="00961812">
      <w:pPr>
        <w:rPr>
          <w:sz w:val="24"/>
          <w:szCs w:val="24"/>
        </w:rPr>
      </w:pPr>
    </w:p>
    <w:p w:rsidR="0076609D" w:rsidRPr="00F754D5" w:rsidRDefault="0076609D" w:rsidP="00961812">
      <w:pPr>
        <w:rPr>
          <w:sz w:val="24"/>
          <w:szCs w:val="24"/>
        </w:rPr>
      </w:pPr>
    </w:p>
    <w:p w:rsidR="0076609D" w:rsidRDefault="0076609D" w:rsidP="00961812">
      <w:pPr>
        <w:ind w:righ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Керуючий справами                                                                                       Д.О. Гапченко</w:t>
      </w:r>
    </w:p>
    <w:p w:rsidR="0076609D" w:rsidRDefault="0076609D" w:rsidP="00961812">
      <w:pPr>
        <w:ind w:right="567"/>
        <w:rPr>
          <w:rFonts w:ascii="Times New Roman" w:hAnsi="Times New Roman"/>
          <w:sz w:val="24"/>
          <w:szCs w:val="24"/>
        </w:rPr>
      </w:pPr>
    </w:p>
    <w:p w:rsidR="0076609D" w:rsidRDefault="0076609D" w:rsidP="00961812">
      <w:pPr>
        <w:ind w:right="567"/>
        <w:rPr>
          <w:rFonts w:ascii="Times New Roman" w:hAnsi="Times New Roman"/>
          <w:sz w:val="24"/>
          <w:szCs w:val="24"/>
        </w:rPr>
      </w:pPr>
    </w:p>
    <w:p w:rsidR="0076609D" w:rsidRDefault="0076609D" w:rsidP="00961812">
      <w:pPr>
        <w:ind w:right="567"/>
        <w:rPr>
          <w:rFonts w:ascii="Times New Roman" w:hAnsi="Times New Roman"/>
          <w:sz w:val="24"/>
          <w:szCs w:val="24"/>
        </w:rPr>
      </w:pPr>
    </w:p>
    <w:p w:rsidR="0076609D" w:rsidRDefault="0076609D" w:rsidP="00961812">
      <w:pPr>
        <w:ind w:right="567"/>
        <w:rPr>
          <w:rFonts w:ascii="Times New Roman" w:hAnsi="Times New Roman"/>
          <w:sz w:val="24"/>
          <w:szCs w:val="24"/>
        </w:rPr>
      </w:pPr>
    </w:p>
    <w:p w:rsidR="0076609D" w:rsidRPr="009638DF" w:rsidRDefault="0076609D" w:rsidP="009638DF">
      <w:pPr>
        <w:spacing w:after="0"/>
        <w:rPr>
          <w:rFonts w:ascii="Times New Roman" w:hAnsi="Times New Roman"/>
          <w:sz w:val="20"/>
          <w:szCs w:val="20"/>
        </w:rPr>
      </w:pPr>
      <w:r w:rsidRPr="009638DF">
        <w:rPr>
          <w:rFonts w:ascii="Times New Roman" w:hAnsi="Times New Roman"/>
          <w:sz w:val="20"/>
          <w:szCs w:val="20"/>
        </w:rPr>
        <w:t>Виконавець</w:t>
      </w:r>
    </w:p>
    <w:p w:rsidR="0076609D" w:rsidRPr="009638DF" w:rsidRDefault="0076609D" w:rsidP="009638DF">
      <w:pPr>
        <w:spacing w:after="0"/>
        <w:rPr>
          <w:rFonts w:ascii="Times New Roman" w:hAnsi="Times New Roman"/>
          <w:sz w:val="20"/>
          <w:szCs w:val="20"/>
        </w:rPr>
      </w:pPr>
      <w:r w:rsidRPr="009638DF">
        <w:rPr>
          <w:rFonts w:ascii="Times New Roman" w:hAnsi="Times New Roman"/>
          <w:sz w:val="20"/>
          <w:szCs w:val="20"/>
        </w:rPr>
        <w:t>Михальчук О.В.</w:t>
      </w:r>
    </w:p>
    <w:p w:rsidR="0076609D" w:rsidRPr="00F754D5" w:rsidRDefault="0076609D" w:rsidP="00961812">
      <w:pPr>
        <w:ind w:right="567"/>
        <w:rPr>
          <w:rFonts w:ascii="Times New Roman" w:hAnsi="Times New Roman"/>
          <w:sz w:val="24"/>
          <w:szCs w:val="24"/>
        </w:rPr>
      </w:pPr>
    </w:p>
    <w:sectPr w:rsidR="0076609D" w:rsidRPr="00F754D5" w:rsidSect="003352A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609"/>
    <w:multiLevelType w:val="hybridMultilevel"/>
    <w:tmpl w:val="2F7C1BAC"/>
    <w:lvl w:ilvl="0" w:tplc="900C9338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59A6991"/>
    <w:multiLevelType w:val="hybridMultilevel"/>
    <w:tmpl w:val="0AF2501A"/>
    <w:lvl w:ilvl="0" w:tplc="7CC2BD2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6D16AFB"/>
    <w:multiLevelType w:val="hybridMultilevel"/>
    <w:tmpl w:val="64EAD4E4"/>
    <w:lvl w:ilvl="0" w:tplc="29EA746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27704"/>
    <w:multiLevelType w:val="hybridMultilevel"/>
    <w:tmpl w:val="889C3408"/>
    <w:lvl w:ilvl="0" w:tplc="BCB053C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2D100712"/>
    <w:multiLevelType w:val="multilevel"/>
    <w:tmpl w:val="C8ECC2D8"/>
    <w:lvl w:ilvl="0">
      <w:start w:val="1"/>
      <w:numFmt w:val="decimal"/>
      <w:lvlText w:val="%1."/>
      <w:lvlJc w:val="left"/>
      <w:pPr>
        <w:ind w:left="1668" w:hanging="9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E2C7D38"/>
    <w:multiLevelType w:val="hybridMultilevel"/>
    <w:tmpl w:val="C3A4E5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840"/>
    <w:rsid w:val="00020222"/>
    <w:rsid w:val="000652C3"/>
    <w:rsid w:val="000A1C7B"/>
    <w:rsid w:val="000B0602"/>
    <w:rsid w:val="000D6CC4"/>
    <w:rsid w:val="00116664"/>
    <w:rsid w:val="00185C10"/>
    <w:rsid w:val="0020019B"/>
    <w:rsid w:val="0026713E"/>
    <w:rsid w:val="00296957"/>
    <w:rsid w:val="00297EBA"/>
    <w:rsid w:val="002F7C46"/>
    <w:rsid w:val="003352A7"/>
    <w:rsid w:val="00375864"/>
    <w:rsid w:val="0041620E"/>
    <w:rsid w:val="00491AE1"/>
    <w:rsid w:val="004F276F"/>
    <w:rsid w:val="00581210"/>
    <w:rsid w:val="006E7349"/>
    <w:rsid w:val="0071340B"/>
    <w:rsid w:val="007355DE"/>
    <w:rsid w:val="00762058"/>
    <w:rsid w:val="0076609D"/>
    <w:rsid w:val="007B276D"/>
    <w:rsid w:val="007F419F"/>
    <w:rsid w:val="008410B6"/>
    <w:rsid w:val="00863AA1"/>
    <w:rsid w:val="00873A17"/>
    <w:rsid w:val="00873ECF"/>
    <w:rsid w:val="00903360"/>
    <w:rsid w:val="00961812"/>
    <w:rsid w:val="009638DF"/>
    <w:rsid w:val="009B004E"/>
    <w:rsid w:val="009C018F"/>
    <w:rsid w:val="009E2217"/>
    <w:rsid w:val="009F306D"/>
    <w:rsid w:val="00A717E4"/>
    <w:rsid w:val="00AB1694"/>
    <w:rsid w:val="00AD15B7"/>
    <w:rsid w:val="00AD5EA6"/>
    <w:rsid w:val="00B43EE4"/>
    <w:rsid w:val="00BF55D7"/>
    <w:rsid w:val="00C26F1C"/>
    <w:rsid w:val="00C50565"/>
    <w:rsid w:val="00C533C2"/>
    <w:rsid w:val="00C556F6"/>
    <w:rsid w:val="00C67840"/>
    <w:rsid w:val="00CA5DE4"/>
    <w:rsid w:val="00CA6BCC"/>
    <w:rsid w:val="00D04758"/>
    <w:rsid w:val="00D273BD"/>
    <w:rsid w:val="00D463A9"/>
    <w:rsid w:val="00D5739A"/>
    <w:rsid w:val="00D618C6"/>
    <w:rsid w:val="00D71E64"/>
    <w:rsid w:val="00D72F1E"/>
    <w:rsid w:val="00D97B79"/>
    <w:rsid w:val="00DA77DE"/>
    <w:rsid w:val="00DE1CAD"/>
    <w:rsid w:val="00E01380"/>
    <w:rsid w:val="00E36FD7"/>
    <w:rsid w:val="00E45AE2"/>
    <w:rsid w:val="00E97B4F"/>
    <w:rsid w:val="00ED2C6C"/>
    <w:rsid w:val="00F55840"/>
    <w:rsid w:val="00F574CC"/>
    <w:rsid w:val="00F754D5"/>
    <w:rsid w:val="00F7747C"/>
    <w:rsid w:val="00FC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47C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B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A6BC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BC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E1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TableGrid">
    <w:name w:val="Table Grid"/>
    <w:basedOn w:val="TableNormal"/>
    <w:uiPriority w:val="99"/>
    <w:rsid w:val="00297E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3352A7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500</TotalTime>
  <Pages>5</Pages>
  <Words>1136</Words>
  <Characters>6479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www.PHILka.RU</cp:lastModifiedBy>
  <cp:revision>26</cp:revision>
  <cp:lastPrinted>2021-07-20T08:08:00Z</cp:lastPrinted>
  <dcterms:created xsi:type="dcterms:W3CDTF">2021-07-15T12:38:00Z</dcterms:created>
  <dcterms:modified xsi:type="dcterms:W3CDTF">2021-07-28T07:56:00Z</dcterms:modified>
</cp:coreProperties>
</file>