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3119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</w:t>
      </w:r>
      <w:r w:rsidR="00C45521">
        <w:rPr>
          <w:rFonts w:eastAsia="Calibri"/>
          <w:sz w:val="28"/>
          <w:szCs w:val="28"/>
          <w:lang w:eastAsia="en-US"/>
        </w:rPr>
        <w:t xml:space="preserve"> 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C45521" w:rsidP="00C4552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26.07.2023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7A5B4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7A5B47">
              <w:rPr>
                <w:rFonts w:eastAsia="Calibri"/>
                <w:bCs/>
                <w:sz w:val="28"/>
                <w:szCs w:val="28"/>
                <w:lang w:eastAsia="en-US"/>
              </w:rPr>
              <w:t>503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15265" w:rsidRPr="00E15265" w:rsidRDefault="00E15265" w:rsidP="00E15265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Про </w:t>
      </w:r>
      <w:r w:rsidR="00747F8B">
        <w:rPr>
          <w:b/>
          <w:bCs/>
          <w:sz w:val="26"/>
          <w:szCs w:val="26"/>
        </w:rPr>
        <w:t>передачу</w:t>
      </w:r>
      <w:r w:rsidRPr="00E15265">
        <w:rPr>
          <w:b/>
          <w:bCs/>
          <w:sz w:val="26"/>
          <w:szCs w:val="26"/>
        </w:rPr>
        <w:t xml:space="preserve"> матеріально-технічних засобів </w:t>
      </w:r>
    </w:p>
    <w:p w:rsidR="00AF2166" w:rsidRPr="003B59EA" w:rsidRDefault="00E15265" w:rsidP="00747F8B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для </w:t>
      </w:r>
      <w:r w:rsidR="00747F8B">
        <w:rPr>
          <w:b/>
          <w:bCs/>
          <w:sz w:val="26"/>
          <w:szCs w:val="26"/>
        </w:rPr>
        <w:t>облаштування захисної споруди цивільного захисту</w:t>
      </w:r>
    </w:p>
    <w:p w:rsidR="001D1F89" w:rsidRPr="005B7B6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15947" w:rsidP="00AD30CA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>Закону України «</w:t>
      </w:r>
      <w:r w:rsidR="00AD30CA" w:rsidRPr="00AD30CA">
        <w:rPr>
          <w:rFonts w:ascii="Times New Roman" w:hAnsi="Times New Roman"/>
          <w:bCs/>
          <w:sz w:val="28"/>
          <w:szCs w:val="28"/>
          <w:lang w:val="uk-UA"/>
        </w:rPr>
        <w:t>Пр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о правовий режим воєнного стану»,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Кодексу цивільного захисту України, 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>Поряд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ку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 xml:space="preserve"> створення, утримання фонду захисних споруд цивільного захисту та ведення його обліку, затверджен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ого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 xml:space="preserve"> постановою Кабінету Міністрів Украї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 xml:space="preserve">ни від 10 березня 2017 р. № 138, 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у МВС від 09.07.2018 № 579 «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>Про затвердження вимог з питань використання та обліку фонду захисних споруд цивільного захисту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>, зареєстрован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ого</w:t>
      </w:r>
      <w:r w:rsidR="00747F8B" w:rsidRPr="00747F8B">
        <w:rPr>
          <w:rFonts w:ascii="Times New Roman" w:hAnsi="Times New Roman"/>
          <w:bCs/>
          <w:sz w:val="28"/>
          <w:szCs w:val="28"/>
          <w:lang w:val="uk-UA"/>
        </w:rPr>
        <w:t xml:space="preserve"> у Міністерстві юстиції України 30 липня 2018 р. за № 879/32331</w:t>
      </w:r>
      <w:r w:rsidR="00AD30CA" w:rsidRPr="00747F8B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враховуючи лист ВК «Фірма «</w:t>
      </w:r>
      <w:proofErr w:type="spellStart"/>
      <w:r w:rsidR="00747F8B">
        <w:rPr>
          <w:rFonts w:ascii="Times New Roman" w:hAnsi="Times New Roman"/>
          <w:bCs/>
          <w:sz w:val="28"/>
          <w:szCs w:val="28"/>
          <w:lang w:val="uk-UA"/>
        </w:rPr>
        <w:t>Агробудпостач</w:t>
      </w:r>
      <w:proofErr w:type="spellEnd"/>
      <w:r w:rsidR="00747F8B">
        <w:rPr>
          <w:rFonts w:ascii="Times New Roman" w:hAnsi="Times New Roman"/>
          <w:bCs/>
          <w:sz w:val="28"/>
          <w:szCs w:val="28"/>
          <w:lang w:val="uk-UA"/>
        </w:rPr>
        <w:t xml:space="preserve">» від 13.06.2023 </w:t>
      </w:r>
      <w:proofErr w:type="spellStart"/>
      <w:r w:rsidR="00747F8B">
        <w:rPr>
          <w:rFonts w:ascii="Times New Roman" w:hAnsi="Times New Roman"/>
          <w:bCs/>
          <w:sz w:val="28"/>
          <w:szCs w:val="28"/>
          <w:lang w:val="uk-UA"/>
        </w:rPr>
        <w:t>вх</w:t>
      </w:r>
      <w:proofErr w:type="spellEnd"/>
      <w:r w:rsidR="00747F8B">
        <w:rPr>
          <w:rFonts w:ascii="Times New Roman" w:hAnsi="Times New Roman"/>
          <w:bCs/>
          <w:sz w:val="28"/>
          <w:szCs w:val="28"/>
          <w:lang w:val="uk-UA"/>
        </w:rPr>
        <w:t>. № 12.1-08/2/3719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, з метою належного функціонування </w:t>
      </w:r>
      <w:r w:rsidR="00747F8B">
        <w:rPr>
          <w:rFonts w:ascii="Times New Roman" w:hAnsi="Times New Roman"/>
          <w:bCs/>
          <w:sz w:val="28"/>
          <w:szCs w:val="28"/>
          <w:lang w:val="uk-UA"/>
        </w:rPr>
        <w:t>фонду захисних споруд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E15265" w:rsidRPr="00E15265" w:rsidRDefault="00E15265" w:rsidP="00C45521">
      <w:pPr>
        <w:pStyle w:val="a7"/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="00C45521" w:rsidRPr="00C45521">
        <w:rPr>
          <w:bCs/>
          <w:sz w:val="28"/>
          <w:szCs w:val="28"/>
        </w:rPr>
        <w:t xml:space="preserve">матеріально-технічних засобів </w:t>
      </w:r>
      <w:r w:rsidR="00C45521">
        <w:rPr>
          <w:sz w:val="28"/>
          <w:szCs w:val="28"/>
        </w:rPr>
        <w:t>ВК «Фірма «</w:t>
      </w:r>
      <w:proofErr w:type="spellStart"/>
      <w:r w:rsidR="00C45521">
        <w:rPr>
          <w:sz w:val="28"/>
          <w:szCs w:val="28"/>
        </w:rPr>
        <w:t>Агробудпостач</w:t>
      </w:r>
      <w:proofErr w:type="spellEnd"/>
      <w:r w:rsidR="00C45521">
        <w:rPr>
          <w:sz w:val="28"/>
          <w:szCs w:val="28"/>
        </w:rPr>
        <w:t>» для облаштування захисної споруди цивільного захисту, сховища № 164009,</w:t>
      </w:r>
      <w:r w:rsidR="00C45521" w:rsidRPr="00C45521">
        <w:t xml:space="preserve"> </w:t>
      </w:r>
      <w:r w:rsidR="00C45521">
        <w:rPr>
          <w:sz w:val="28"/>
          <w:szCs w:val="28"/>
        </w:rPr>
        <w:t xml:space="preserve">розташованого за </w:t>
      </w:r>
      <w:proofErr w:type="spellStart"/>
      <w:r w:rsidR="00C45521">
        <w:rPr>
          <w:sz w:val="28"/>
          <w:szCs w:val="28"/>
        </w:rPr>
        <w:t>адресою</w:t>
      </w:r>
      <w:proofErr w:type="spellEnd"/>
      <w:r w:rsidR="00C45521">
        <w:rPr>
          <w:sz w:val="28"/>
          <w:szCs w:val="28"/>
        </w:rPr>
        <w:t>: м. Буча, вул. Яблунська,144 та</w:t>
      </w:r>
      <w:r w:rsidR="00C45521" w:rsidRPr="00C45521">
        <w:rPr>
          <w:sz w:val="28"/>
          <w:szCs w:val="28"/>
        </w:rPr>
        <w:t xml:space="preserve"> перебуває на обліку в </w:t>
      </w:r>
      <w:proofErr w:type="spellStart"/>
      <w:r w:rsidR="00C45521" w:rsidRPr="00C45521">
        <w:rPr>
          <w:sz w:val="28"/>
          <w:szCs w:val="28"/>
        </w:rPr>
        <w:t>Бучанській</w:t>
      </w:r>
      <w:proofErr w:type="spellEnd"/>
      <w:r w:rsidR="00C45521" w:rsidRPr="00C45521">
        <w:rPr>
          <w:sz w:val="28"/>
          <w:szCs w:val="28"/>
        </w:rPr>
        <w:t xml:space="preserve"> міській раді, </w:t>
      </w:r>
      <w:r w:rsidRPr="00E15265">
        <w:rPr>
          <w:sz w:val="28"/>
          <w:szCs w:val="28"/>
        </w:rPr>
        <w:t>згідно додатку.</w:t>
      </w:r>
    </w:p>
    <w:p w:rsidR="009A7ABC" w:rsidRPr="009A7ABC" w:rsidRDefault="009A7ABC" w:rsidP="00C45521">
      <w:pPr>
        <w:pStyle w:val="a7"/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9A7ABC">
        <w:rPr>
          <w:sz w:val="28"/>
          <w:szCs w:val="28"/>
        </w:rPr>
        <w:t xml:space="preserve">Прийом-передачу </w:t>
      </w:r>
      <w:r w:rsidRPr="009A7ABC">
        <w:rPr>
          <w:bCs/>
          <w:sz w:val="28"/>
          <w:szCs w:val="28"/>
        </w:rPr>
        <w:t>матеріальних цінностей</w:t>
      </w:r>
      <w:r w:rsidRPr="009A7ABC">
        <w:rPr>
          <w:b/>
          <w:bCs/>
          <w:sz w:val="28"/>
          <w:szCs w:val="28"/>
        </w:rPr>
        <w:t xml:space="preserve"> </w:t>
      </w:r>
      <w:r w:rsidRPr="009A7ABC">
        <w:rPr>
          <w:sz w:val="28"/>
          <w:szCs w:val="28"/>
        </w:rPr>
        <w:t>оформити актами приймання-передачі.</w:t>
      </w:r>
    </w:p>
    <w:p w:rsidR="00E15265" w:rsidRDefault="00C45521" w:rsidP="00C45521">
      <w:pPr>
        <w:pStyle w:val="a7"/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45521">
        <w:rPr>
          <w:sz w:val="28"/>
          <w:szCs w:val="28"/>
        </w:rPr>
        <w:t>ВК «Фірма «</w:t>
      </w:r>
      <w:proofErr w:type="spellStart"/>
      <w:r w:rsidRPr="00C45521">
        <w:rPr>
          <w:sz w:val="28"/>
          <w:szCs w:val="28"/>
        </w:rPr>
        <w:t>Агробудпостач</w:t>
      </w:r>
      <w:proofErr w:type="spellEnd"/>
      <w:r w:rsidRPr="00C45521">
        <w:rPr>
          <w:sz w:val="28"/>
          <w:szCs w:val="28"/>
        </w:rPr>
        <w:t xml:space="preserve">» </w:t>
      </w:r>
      <w:r w:rsidR="00AF2166" w:rsidRPr="00E15265">
        <w:rPr>
          <w:sz w:val="28"/>
          <w:szCs w:val="28"/>
        </w:rPr>
        <w:t xml:space="preserve">забезпечити </w:t>
      </w:r>
      <w:r w:rsidR="00AF2166" w:rsidRPr="00E15265">
        <w:rPr>
          <w:bCs/>
          <w:sz w:val="28"/>
          <w:szCs w:val="28"/>
        </w:rPr>
        <w:t>збереження та належне обслуговування матеріальних цінностей за основним місцем їх розташування</w:t>
      </w:r>
      <w:r w:rsidR="00E15265">
        <w:rPr>
          <w:sz w:val="28"/>
          <w:szCs w:val="28"/>
        </w:rPr>
        <w:t>.</w:t>
      </w:r>
    </w:p>
    <w:p w:rsidR="0067662C" w:rsidRPr="00E15265" w:rsidRDefault="0067662C" w:rsidP="00C45521">
      <w:pPr>
        <w:pStyle w:val="a7"/>
        <w:numPr>
          <w:ilvl w:val="0"/>
          <w:numId w:val="2"/>
        </w:numPr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E15265">
        <w:rPr>
          <w:sz w:val="28"/>
          <w:szCs w:val="28"/>
        </w:rPr>
        <w:t>Контроль за виконанням цього рішення покласти</w:t>
      </w:r>
      <w:r w:rsidR="007732D8" w:rsidRPr="00E15265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E15265">
        <w:rPr>
          <w:sz w:val="28"/>
          <w:szCs w:val="28"/>
        </w:rPr>
        <w:t>Чейчука</w:t>
      </w:r>
      <w:proofErr w:type="spellEnd"/>
      <w:r w:rsidR="00E14E3F" w:rsidRPr="00E15265">
        <w:rPr>
          <w:sz w:val="28"/>
          <w:szCs w:val="28"/>
        </w:rPr>
        <w:t xml:space="preserve"> Д.М.</w:t>
      </w:r>
    </w:p>
    <w:p w:rsidR="001D1F89" w:rsidRPr="003B59EA" w:rsidRDefault="001D1F89" w:rsidP="00C45521">
      <w:pPr>
        <w:pStyle w:val="a7"/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47F8B" w:rsidRPr="00747F8B" w:rsidTr="00790225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47F8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47F8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47F8B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47F8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47F8B" w:rsidRPr="00747F8B" w:rsidTr="00790225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В.о. керуючого 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47F8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47F8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eastAsia="uk-UA"/>
              </w:rPr>
            </w:pPr>
            <w:r w:rsidRPr="00747F8B">
              <w:rPr>
                <w:rFonts w:eastAsia="Calibri"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47F8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747F8B" w:rsidRPr="00747F8B" w:rsidTr="00790225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47F8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47F8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47F8B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47F8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47F8B" w:rsidRPr="00747F8B" w:rsidTr="00790225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 -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47F8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47F8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47F8B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47F8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747F8B" w:rsidRPr="00747F8B" w:rsidTr="00790225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47F8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47F8B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47F8B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747F8B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47F8B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47F8B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47F8B" w:rsidRPr="00747F8B" w:rsidRDefault="00747F8B" w:rsidP="00747F8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47F8B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Default="004B729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C45521" w:rsidRDefault="00C45521" w:rsidP="004B7295">
      <w:pPr>
        <w:rPr>
          <w:b/>
        </w:rPr>
      </w:pPr>
    </w:p>
    <w:p w:rsidR="00C45521" w:rsidRDefault="00C45521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Pr="00E15265" w:rsidRDefault="00E15265" w:rsidP="00E15265">
      <w:pPr>
        <w:tabs>
          <w:tab w:val="left" w:pos="6237"/>
        </w:tabs>
        <w:contextualSpacing/>
      </w:pPr>
      <w:r>
        <w:lastRenderedPageBreak/>
        <w:tab/>
      </w:r>
      <w:r w:rsidRPr="00E15265">
        <w:t xml:space="preserve">Додаток 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7A5B47">
        <w:t>503</w:t>
      </w:r>
      <w:bookmarkStart w:id="0" w:name="_GoBack"/>
      <w:bookmarkEnd w:id="0"/>
    </w:p>
    <w:p w:rsid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від </w:t>
      </w:r>
      <w:r w:rsidR="00C45521">
        <w:t>26.07.2023</w:t>
      </w:r>
    </w:p>
    <w:p w:rsidR="00173919" w:rsidRDefault="00173919" w:rsidP="00E15265">
      <w:pPr>
        <w:tabs>
          <w:tab w:val="left" w:pos="6237"/>
        </w:tabs>
        <w:ind w:left="6237"/>
        <w:contextualSpacing/>
      </w:pPr>
    </w:p>
    <w:p w:rsidR="00173919" w:rsidRDefault="00173919" w:rsidP="00E15265">
      <w:pPr>
        <w:tabs>
          <w:tab w:val="left" w:pos="6237"/>
        </w:tabs>
        <w:ind w:left="6237"/>
        <w:contextualSpacing/>
      </w:pPr>
    </w:p>
    <w:p w:rsidR="00173919" w:rsidRDefault="00173919" w:rsidP="00E15265">
      <w:pPr>
        <w:tabs>
          <w:tab w:val="left" w:pos="6237"/>
        </w:tabs>
        <w:ind w:left="6237"/>
        <w:contextualSpacing/>
      </w:pPr>
    </w:p>
    <w:p w:rsidR="00173919" w:rsidRPr="00173919" w:rsidRDefault="00173919" w:rsidP="00173919">
      <w:pPr>
        <w:tabs>
          <w:tab w:val="left" w:pos="6521"/>
        </w:tabs>
        <w:contextualSpacing/>
        <w:jc w:val="center"/>
        <w:rPr>
          <w:b/>
          <w:color w:val="000000"/>
          <w:sz w:val="28"/>
          <w:szCs w:val="28"/>
        </w:rPr>
      </w:pPr>
      <w:r w:rsidRPr="00173919">
        <w:rPr>
          <w:b/>
          <w:color w:val="000000"/>
          <w:sz w:val="28"/>
          <w:szCs w:val="28"/>
        </w:rPr>
        <w:t>Перелік товаро-матеріальних цінностей</w:t>
      </w:r>
    </w:p>
    <w:p w:rsidR="00173919" w:rsidRPr="00173919" w:rsidRDefault="00173919" w:rsidP="00173919">
      <w:pPr>
        <w:tabs>
          <w:tab w:val="left" w:pos="6521"/>
        </w:tabs>
        <w:contextualSpacing/>
        <w:jc w:val="center"/>
        <w:rPr>
          <w:b/>
          <w:sz w:val="28"/>
          <w:szCs w:val="28"/>
        </w:rPr>
      </w:pPr>
      <w:r w:rsidRPr="00173919">
        <w:rPr>
          <w:b/>
          <w:color w:val="000000"/>
          <w:sz w:val="28"/>
          <w:szCs w:val="28"/>
        </w:rPr>
        <w:t>для облаштування захисної споруди цивільного захисту</w:t>
      </w: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tbl>
      <w:tblPr>
        <w:tblStyle w:val="11"/>
        <w:tblW w:w="9421" w:type="dxa"/>
        <w:tblLook w:val="04A0" w:firstRow="1" w:lastRow="0" w:firstColumn="1" w:lastColumn="0" w:noHBand="0" w:noVBand="1"/>
      </w:tblPr>
      <w:tblGrid>
        <w:gridCol w:w="568"/>
        <w:gridCol w:w="5142"/>
        <w:gridCol w:w="1421"/>
        <w:gridCol w:w="896"/>
        <w:gridCol w:w="1394"/>
      </w:tblGrid>
      <w:tr w:rsidR="00173919" w:rsidRPr="00173919" w:rsidTr="00173919">
        <w:trPr>
          <w:trHeight w:val="918"/>
        </w:trPr>
        <w:tc>
          <w:tcPr>
            <w:tcW w:w="0" w:type="auto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148" w:type="dxa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 xml:space="preserve">Найменування  </w:t>
            </w:r>
          </w:p>
        </w:tc>
        <w:tc>
          <w:tcPr>
            <w:tcW w:w="1422" w:type="dxa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Од</w:t>
            </w:r>
          </w:p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виміру</w:t>
            </w:r>
          </w:p>
        </w:tc>
        <w:tc>
          <w:tcPr>
            <w:tcW w:w="896" w:type="dxa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Кіль-кість</w:t>
            </w:r>
          </w:p>
        </w:tc>
        <w:tc>
          <w:tcPr>
            <w:tcW w:w="1387" w:type="dxa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Вартість,</w:t>
            </w:r>
          </w:p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b/>
                <w:sz w:val="28"/>
                <w:szCs w:val="28"/>
                <w:lang w:eastAsia="uk-UA"/>
              </w:rPr>
              <w:t>грн.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Аптечка універсальна + турнікет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7525,00</w:t>
            </w:r>
          </w:p>
        </w:tc>
      </w:tr>
      <w:tr w:rsidR="00173919" w:rsidRPr="00173919" w:rsidTr="00173919">
        <w:trPr>
          <w:trHeight w:hRule="exact" w:val="56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val="en-US"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val="en-US" w:eastAsia="uk-UA"/>
              </w:rPr>
              <w:t>2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proofErr w:type="spellStart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>Термопот</w:t>
            </w:r>
            <w:proofErr w:type="spellEnd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 для гарячих напоїв </w:t>
            </w:r>
            <w:proofErr w:type="spellStart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>ProfiCook</w:t>
            </w:r>
            <w:proofErr w:type="spellEnd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 PC-HGA1196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б/в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val="en-US"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proofErr w:type="spellStart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Електрочайник</w:t>
            </w:r>
            <w:proofErr w:type="spellEnd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>Holmer</w:t>
            </w:r>
            <w:proofErr w:type="spellEnd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 HSK-1510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б/в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Ліхтар акумуляторний 40+  з батареєю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6748,00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Пляшка д/води ПЕТ "Столична"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б/в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Помпа LULU ультрамарин з наклейкою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б/в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Ковдра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5769,30</w:t>
            </w:r>
          </w:p>
        </w:tc>
      </w:tr>
      <w:tr w:rsidR="00173919" w:rsidRPr="00173919" w:rsidTr="00173919">
        <w:trPr>
          <w:trHeight w:hRule="exact" w:val="643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>Вогнегасник вуглекислотний ВВК-3,5 (ОУ-5)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б/в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9</w:t>
            </w:r>
          </w:p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</w:p>
        </w:tc>
        <w:tc>
          <w:tcPr>
            <w:tcW w:w="5148" w:type="dxa"/>
            <w:vAlign w:val="bottom"/>
          </w:tcPr>
          <w:p w:rsidR="00173919" w:rsidRPr="00173919" w:rsidRDefault="00173919" w:rsidP="00173919">
            <w:pPr>
              <w:spacing w:before="30" w:after="200" w:line="206" w:lineRule="exact"/>
              <w:ind w:left="15"/>
              <w:rPr>
                <w:rFonts w:eastAsiaTheme="minorEastAsia"/>
                <w:color w:val="000000"/>
                <w:sz w:val="28"/>
                <w:szCs w:val="28"/>
              </w:rPr>
            </w:pPr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Модем </w:t>
            </w:r>
            <w:proofErr w:type="spellStart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>Wi-Fi</w:t>
            </w:r>
            <w:proofErr w:type="spellEnd"/>
            <w:r w:rsidRPr="00173919">
              <w:rPr>
                <w:rFonts w:eastAsiaTheme="minorEastAsia"/>
                <w:color w:val="000000"/>
                <w:sz w:val="28"/>
                <w:szCs w:val="28"/>
              </w:rPr>
              <w:t xml:space="preserve"> (2.4+5Ghz)</w:t>
            </w:r>
          </w:p>
        </w:tc>
        <w:tc>
          <w:tcPr>
            <w:tcW w:w="1422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шт.</w:t>
            </w:r>
          </w:p>
        </w:tc>
        <w:tc>
          <w:tcPr>
            <w:tcW w:w="896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  <w:r w:rsidRPr="00173919">
              <w:rPr>
                <w:rFonts w:eastAsiaTheme="minorEastAsia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387" w:type="dxa"/>
            <w:vAlign w:val="bottom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sz w:val="28"/>
                <w:szCs w:val="28"/>
                <w:lang w:eastAsia="uk-UA"/>
              </w:rPr>
            </w:pPr>
            <w:r w:rsidRPr="00173919">
              <w:rPr>
                <w:sz w:val="28"/>
                <w:szCs w:val="28"/>
                <w:lang w:eastAsia="uk-UA"/>
              </w:rPr>
              <w:t>2132,00</w:t>
            </w:r>
          </w:p>
        </w:tc>
      </w:tr>
      <w:tr w:rsidR="00173919" w:rsidRPr="00173919" w:rsidTr="00173919">
        <w:trPr>
          <w:trHeight w:hRule="exact" w:val="397"/>
        </w:trPr>
        <w:tc>
          <w:tcPr>
            <w:tcW w:w="0" w:type="auto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8"/>
                <w:szCs w:val="28"/>
                <w:lang w:eastAsia="uk-UA"/>
              </w:rPr>
            </w:pPr>
          </w:p>
        </w:tc>
        <w:tc>
          <w:tcPr>
            <w:tcW w:w="7466" w:type="dxa"/>
            <w:gridSpan w:val="3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8"/>
                <w:szCs w:val="28"/>
                <w:lang w:eastAsia="uk-UA"/>
              </w:rPr>
            </w:pPr>
            <w:proofErr w:type="spellStart"/>
            <w:r w:rsidRPr="00173919">
              <w:rPr>
                <w:rFonts w:eastAsiaTheme="minorEastAsia"/>
                <w:b/>
                <w:color w:val="000000"/>
                <w:sz w:val="28"/>
                <w:szCs w:val="28"/>
                <w:lang w:val="ru-RU"/>
              </w:rPr>
              <w:t>Всього</w:t>
            </w:r>
            <w:proofErr w:type="spellEnd"/>
            <w:r w:rsidRPr="00173919">
              <w:rPr>
                <w:rFonts w:eastAsiaTheme="minorEastAsia"/>
                <w:b/>
                <w:color w:val="000000"/>
                <w:sz w:val="28"/>
                <w:szCs w:val="28"/>
                <w:lang w:val="ru-RU"/>
              </w:rPr>
              <w:t>:</w:t>
            </w:r>
          </w:p>
        </w:tc>
        <w:tc>
          <w:tcPr>
            <w:tcW w:w="1387" w:type="dxa"/>
          </w:tcPr>
          <w:p w:rsidR="00173919" w:rsidRPr="00173919" w:rsidRDefault="00173919" w:rsidP="00173919">
            <w:pPr>
              <w:spacing w:after="200" w:line="276" w:lineRule="auto"/>
              <w:contextualSpacing/>
              <w:jc w:val="center"/>
              <w:rPr>
                <w:b/>
                <w:sz w:val="28"/>
                <w:szCs w:val="28"/>
                <w:lang w:eastAsia="uk-UA"/>
              </w:rPr>
            </w:pPr>
            <w:r w:rsidRPr="00173919">
              <w:rPr>
                <w:b/>
                <w:sz w:val="28"/>
                <w:szCs w:val="28"/>
                <w:lang w:eastAsia="uk-UA"/>
              </w:rPr>
              <w:t>22174,30</w:t>
            </w:r>
          </w:p>
        </w:tc>
      </w:tr>
    </w:tbl>
    <w:p w:rsidR="00E15265" w:rsidRPr="00E15265" w:rsidRDefault="00E15265" w:rsidP="00E1526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8"/>
        <w:gridCol w:w="3068"/>
        <w:gridCol w:w="3478"/>
      </w:tblGrid>
      <w:tr w:rsidR="00E15265" w:rsidRPr="00E15265" w:rsidTr="00E15265">
        <w:trPr>
          <w:trHeight w:val="1176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173919" w:rsidP="0017391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173919">
              <w:rPr>
                <w:rFonts w:eastAsia="Calibri"/>
                <w:b/>
                <w:sz w:val="28"/>
                <w:szCs w:val="28"/>
                <w:lang w:eastAsia="uk-UA"/>
              </w:rPr>
              <w:t>В.о. керуючого  справами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73919" w:rsidRPr="00173919" w:rsidRDefault="00173919" w:rsidP="001739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17391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173919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73919"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E15265" w:rsidRPr="00E15265" w:rsidTr="00E15265">
        <w:trPr>
          <w:trHeight w:val="1484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73919" w:rsidRPr="00173919" w:rsidRDefault="00173919" w:rsidP="001739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17391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E15265">
        <w:trPr>
          <w:trHeight w:val="1515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173919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E15265"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73919" w:rsidRPr="00173919" w:rsidRDefault="00173919" w:rsidP="001739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17391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26.07.2023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Default="00D44BB5" w:rsidP="00C45521">
      <w:pPr>
        <w:tabs>
          <w:tab w:val="left" w:pos="6237"/>
        </w:tabs>
        <w:contextualSpacing/>
      </w:pPr>
      <w:r>
        <w:tab/>
      </w:r>
    </w:p>
    <w:sectPr w:rsidR="00E15265" w:rsidSect="00E15265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73919"/>
    <w:rsid w:val="00191286"/>
    <w:rsid w:val="001A1F71"/>
    <w:rsid w:val="001B6D95"/>
    <w:rsid w:val="001D1F89"/>
    <w:rsid w:val="001F3B53"/>
    <w:rsid w:val="00225325"/>
    <w:rsid w:val="00241C36"/>
    <w:rsid w:val="00255606"/>
    <w:rsid w:val="002B09DE"/>
    <w:rsid w:val="00302128"/>
    <w:rsid w:val="00344CDB"/>
    <w:rsid w:val="00372DB5"/>
    <w:rsid w:val="003A1D3B"/>
    <w:rsid w:val="003B59EA"/>
    <w:rsid w:val="003D283D"/>
    <w:rsid w:val="003E765E"/>
    <w:rsid w:val="004A0474"/>
    <w:rsid w:val="004A3119"/>
    <w:rsid w:val="004A4916"/>
    <w:rsid w:val="004B7295"/>
    <w:rsid w:val="004C2A71"/>
    <w:rsid w:val="00550CF2"/>
    <w:rsid w:val="00586295"/>
    <w:rsid w:val="005B7B60"/>
    <w:rsid w:val="005C59F0"/>
    <w:rsid w:val="0067584C"/>
    <w:rsid w:val="0067662C"/>
    <w:rsid w:val="006A5B77"/>
    <w:rsid w:val="007025F5"/>
    <w:rsid w:val="00747F8B"/>
    <w:rsid w:val="0076743E"/>
    <w:rsid w:val="007732D8"/>
    <w:rsid w:val="007A5B47"/>
    <w:rsid w:val="007D3208"/>
    <w:rsid w:val="00800ABC"/>
    <w:rsid w:val="00892D8A"/>
    <w:rsid w:val="008A30C0"/>
    <w:rsid w:val="009A7ABC"/>
    <w:rsid w:val="009C1191"/>
    <w:rsid w:val="009E0033"/>
    <w:rsid w:val="009E3D0C"/>
    <w:rsid w:val="009E6C7A"/>
    <w:rsid w:val="00A14417"/>
    <w:rsid w:val="00AB0C43"/>
    <w:rsid w:val="00AB46EF"/>
    <w:rsid w:val="00AD30CA"/>
    <w:rsid w:val="00AF2166"/>
    <w:rsid w:val="00B967F3"/>
    <w:rsid w:val="00BC55C8"/>
    <w:rsid w:val="00BE0E3F"/>
    <w:rsid w:val="00BF794C"/>
    <w:rsid w:val="00C45521"/>
    <w:rsid w:val="00C556EB"/>
    <w:rsid w:val="00C63DC2"/>
    <w:rsid w:val="00D14537"/>
    <w:rsid w:val="00D34F93"/>
    <w:rsid w:val="00D34F94"/>
    <w:rsid w:val="00D44BB5"/>
    <w:rsid w:val="00D778D7"/>
    <w:rsid w:val="00DD5D94"/>
    <w:rsid w:val="00E01041"/>
    <w:rsid w:val="00E14E3F"/>
    <w:rsid w:val="00E15265"/>
    <w:rsid w:val="00E726EE"/>
    <w:rsid w:val="00E87415"/>
    <w:rsid w:val="00F15947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1753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table" w:customStyle="1" w:styleId="11">
    <w:name w:val="Сетка таблицы1"/>
    <w:basedOn w:val="a1"/>
    <w:next w:val="a8"/>
    <w:uiPriority w:val="59"/>
    <w:rsid w:val="001739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2162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4</cp:revision>
  <cp:lastPrinted>2023-08-02T11:16:00Z</cp:lastPrinted>
  <dcterms:created xsi:type="dcterms:W3CDTF">2023-08-02T11:16:00Z</dcterms:created>
  <dcterms:modified xsi:type="dcterms:W3CDTF">2023-08-02T11:16:00Z</dcterms:modified>
</cp:coreProperties>
</file>