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7185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E149D3" w:rsidP="00E149D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68220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6822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190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E149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87AC5" w:rsidRPr="00787AC5" w:rsidRDefault="00E149D3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Юрченка Б.В.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фізичної особи-підприємця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49D3">
        <w:rPr>
          <w:rFonts w:ascii="Times New Roman" w:hAnsi="Times New Roman" w:cs="Times New Roman"/>
          <w:sz w:val="26"/>
          <w:szCs w:val="26"/>
        </w:rPr>
        <w:t>Юрченка Бориса Володимировича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E149D3">
        <w:rPr>
          <w:rFonts w:ascii="Times New Roman" w:hAnsi="Times New Roman" w:cs="Times New Roman"/>
          <w:sz w:val="26"/>
          <w:szCs w:val="26"/>
        </w:rPr>
        <w:t>овочами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E149D3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E149D3">
        <w:rPr>
          <w:rFonts w:ascii="Times New Roman" w:hAnsi="Times New Roman" w:cs="Times New Roman"/>
          <w:sz w:val="26"/>
          <w:szCs w:val="26"/>
        </w:rPr>
        <w:t xml:space="preserve">поруч </w:t>
      </w:r>
      <w:proofErr w:type="spellStart"/>
      <w:r w:rsidR="00E149D3">
        <w:rPr>
          <w:rFonts w:ascii="Times New Roman" w:hAnsi="Times New Roman" w:cs="Times New Roman"/>
          <w:sz w:val="26"/>
          <w:szCs w:val="26"/>
        </w:rPr>
        <w:t>бювету</w:t>
      </w:r>
      <w:proofErr w:type="spellEnd"/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E149D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Юрченку Б.В.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E149D3">
        <w:rPr>
          <w:rFonts w:ascii="Times New Roman" w:hAnsi="Times New Roman" w:cs="Times New Roman"/>
          <w:sz w:val="26"/>
          <w:szCs w:val="26"/>
        </w:rPr>
        <w:t xml:space="preserve">овочами, за </w:t>
      </w:r>
      <w:proofErr w:type="spellStart"/>
      <w:r w:rsidR="00E149D3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E149D3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0C683F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E149D3">
        <w:rPr>
          <w:rFonts w:ascii="Times New Roman" w:hAnsi="Times New Roman" w:cs="Times New Roman"/>
          <w:sz w:val="26"/>
          <w:szCs w:val="26"/>
        </w:rPr>
        <w:t xml:space="preserve">поруч </w:t>
      </w:r>
      <w:proofErr w:type="spellStart"/>
      <w:r w:rsidR="00E149D3">
        <w:rPr>
          <w:rFonts w:ascii="Times New Roman" w:hAnsi="Times New Roman" w:cs="Times New Roman"/>
          <w:sz w:val="26"/>
          <w:szCs w:val="26"/>
        </w:rPr>
        <w:t>бювету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року по 31.12.2023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E149D3">
        <w:rPr>
          <w:rFonts w:ascii="Times New Roman" w:hAnsi="Times New Roman" w:cs="Times New Roman"/>
          <w:sz w:val="26"/>
          <w:szCs w:val="26"/>
        </w:rPr>
        <w:t xml:space="preserve"> Юрченку Б.В.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E149D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Юрченку Б.В.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фізичну особу-підприємця</w:t>
      </w:r>
      <w:r w:rsidR="00E149D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Юрченка Б.В.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E149D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Юрченку Б.В.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F4EA8"/>
    <w:rsid w:val="00235C26"/>
    <w:rsid w:val="00261FBE"/>
    <w:rsid w:val="002E31C6"/>
    <w:rsid w:val="0047021D"/>
    <w:rsid w:val="005A513F"/>
    <w:rsid w:val="006251BE"/>
    <w:rsid w:val="0068220A"/>
    <w:rsid w:val="006928C0"/>
    <w:rsid w:val="00787AC5"/>
    <w:rsid w:val="007E32E3"/>
    <w:rsid w:val="0082206B"/>
    <w:rsid w:val="00C07C80"/>
    <w:rsid w:val="00C26D3D"/>
    <w:rsid w:val="00C541E4"/>
    <w:rsid w:val="00CA3FF7"/>
    <w:rsid w:val="00CF77BA"/>
    <w:rsid w:val="00DE5CA5"/>
    <w:rsid w:val="00E0776D"/>
    <w:rsid w:val="00E149D3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845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2023-01-16T14:42:00Z</cp:lastPrinted>
  <dcterms:created xsi:type="dcterms:W3CDTF">2022-12-16T10:49:00Z</dcterms:created>
  <dcterms:modified xsi:type="dcterms:W3CDTF">2023-04-05T07:53:00Z</dcterms:modified>
</cp:coreProperties>
</file>