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A1" w:rsidRDefault="00D62209" w:rsidP="004C32A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1A8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6896" w:rsidRPr="003479D4" w:rsidRDefault="00E96896" w:rsidP="00E9689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B5772" wp14:editId="73D656A0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6896" w:rsidRPr="004F03FA" w:rsidRDefault="00E96896" w:rsidP="00E9689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7B577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:rsidR="00E96896" w:rsidRPr="004F03FA" w:rsidRDefault="00E96896" w:rsidP="00E9689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07120351" r:id="rId7"/>
        </w:object>
      </w:r>
    </w:p>
    <w:p w:rsidR="00E96896" w:rsidRPr="003479D4" w:rsidRDefault="00E96896" w:rsidP="00E96896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6896" w:rsidRPr="003479D4" w:rsidTr="006842FA">
        <w:tc>
          <w:tcPr>
            <w:tcW w:w="9628" w:type="dxa"/>
          </w:tcPr>
          <w:p w:rsidR="00E96896" w:rsidRDefault="00E96896" w:rsidP="006842F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E96896" w:rsidRPr="003479D4" w:rsidRDefault="00E96896" w:rsidP="006842FA">
            <w:pPr>
              <w:spacing w:line="240" w:lineRule="auto"/>
              <w:rPr>
                <w:lang w:val="uk-UA"/>
              </w:rPr>
            </w:pPr>
          </w:p>
        </w:tc>
      </w:tr>
    </w:tbl>
    <w:p w:rsidR="00E96896" w:rsidRPr="003479D4" w:rsidRDefault="00E96896" w:rsidP="00E9689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E96896" w:rsidRPr="003479D4" w:rsidRDefault="00E96896" w:rsidP="00E9689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6896" w:rsidRPr="003479D4" w:rsidTr="006842FA">
        <w:tc>
          <w:tcPr>
            <w:tcW w:w="3166" w:type="dxa"/>
          </w:tcPr>
          <w:p w:rsidR="00E96896" w:rsidRPr="003479D4" w:rsidRDefault="00E96896" w:rsidP="00022EA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</w:t>
            </w:r>
            <w:r w:rsidR="00645981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15.02</w:t>
            </w:r>
            <w:r w:rsidRPr="00022EA6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.2022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</w:t>
            </w:r>
          </w:p>
        </w:tc>
        <w:tc>
          <w:tcPr>
            <w:tcW w:w="3166" w:type="dxa"/>
          </w:tcPr>
          <w:p w:rsidR="00E96896" w:rsidRPr="003479D4" w:rsidRDefault="00E96896" w:rsidP="006842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E96896" w:rsidRPr="003479D4" w:rsidRDefault="00E96896" w:rsidP="00734D85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 _</w:t>
            </w:r>
            <w:r w:rsidR="00734D85" w:rsidRPr="00734D85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72</w:t>
            </w: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</w:t>
            </w:r>
          </w:p>
        </w:tc>
      </w:tr>
    </w:tbl>
    <w:p w:rsidR="00D62209" w:rsidRDefault="00D62209" w:rsidP="0077332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77332E" w:rsidRPr="00645981" w:rsidRDefault="00645981" w:rsidP="0077332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645981">
        <w:rPr>
          <w:rFonts w:ascii="Times New Roman" w:hAnsi="Times New Roman"/>
          <w:b/>
          <w:sz w:val="28"/>
          <w:szCs w:val="28"/>
          <w:lang w:val="uk-UA"/>
        </w:rPr>
        <w:t xml:space="preserve">Про надання адміністративних </w:t>
      </w:r>
    </w:p>
    <w:p w:rsidR="00645981" w:rsidRDefault="00D62209" w:rsidP="0077332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послуг управлінням Центру надання</w:t>
      </w:r>
    </w:p>
    <w:p w:rsidR="00D62209" w:rsidRDefault="00D62209" w:rsidP="0077332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адміністративних послуг Бучанської </w:t>
      </w:r>
    </w:p>
    <w:p w:rsidR="00645981" w:rsidRDefault="00D62209" w:rsidP="0077332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645981" w:rsidRPr="00645981">
        <w:rPr>
          <w:rFonts w:ascii="Times New Roman" w:hAnsi="Times New Roman"/>
          <w:b/>
          <w:sz w:val="28"/>
          <w:szCs w:val="28"/>
          <w:lang w:val="uk-UA"/>
        </w:rPr>
        <w:t>у 2021 році</w:t>
      </w:r>
    </w:p>
    <w:p w:rsidR="00645981" w:rsidRPr="00645981" w:rsidRDefault="00645981" w:rsidP="0077332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77332E" w:rsidRDefault="00F83A3A" w:rsidP="0077332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77332E">
        <w:rPr>
          <w:rFonts w:ascii="Times New Roman" w:hAnsi="Times New Roman"/>
          <w:sz w:val="28"/>
          <w:szCs w:val="28"/>
          <w:lang w:val="uk-UA"/>
        </w:rPr>
        <w:t xml:space="preserve">аслухавши інформацію начальника управління </w:t>
      </w:r>
      <w:r>
        <w:rPr>
          <w:rFonts w:ascii="Times New Roman" w:hAnsi="Times New Roman"/>
          <w:sz w:val="28"/>
          <w:szCs w:val="28"/>
          <w:lang w:val="uk-UA"/>
        </w:rPr>
        <w:t>Центр</w:t>
      </w:r>
      <w:r w:rsidR="00D62209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надання адміністративних послуг Бучанської міської ради Михальчук О.В.</w:t>
      </w:r>
      <w:r w:rsidRPr="007733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5981">
        <w:rPr>
          <w:rFonts w:ascii="Times New Roman" w:hAnsi="Times New Roman"/>
          <w:sz w:val="28"/>
          <w:szCs w:val="28"/>
          <w:lang w:val="uk-UA"/>
        </w:rPr>
        <w:t xml:space="preserve">про надання адміністративних послуг управлінням </w:t>
      </w:r>
      <w:r w:rsidR="00D62209">
        <w:rPr>
          <w:rFonts w:ascii="Times New Roman" w:hAnsi="Times New Roman"/>
          <w:sz w:val="28"/>
          <w:szCs w:val="28"/>
          <w:lang w:val="uk-UA"/>
        </w:rPr>
        <w:t>Центру надання адміністративних послуг Бучанської міської ради</w:t>
      </w:r>
      <w:r w:rsidR="00645981">
        <w:rPr>
          <w:rFonts w:ascii="Times New Roman" w:hAnsi="Times New Roman"/>
          <w:sz w:val="28"/>
          <w:szCs w:val="28"/>
          <w:lang w:val="uk-UA"/>
        </w:rPr>
        <w:t xml:space="preserve"> у 2021 році</w:t>
      </w:r>
      <w:r>
        <w:rPr>
          <w:rFonts w:ascii="Times New Roman" w:hAnsi="Times New Roman"/>
          <w:sz w:val="28"/>
          <w:szCs w:val="28"/>
          <w:lang w:val="uk-UA"/>
        </w:rPr>
        <w:t>,  к</w:t>
      </w:r>
      <w:r w:rsidR="004C32A1">
        <w:rPr>
          <w:rFonts w:ascii="Times New Roman" w:hAnsi="Times New Roman"/>
          <w:sz w:val="28"/>
          <w:szCs w:val="28"/>
          <w:lang w:val="uk-UA"/>
        </w:rPr>
        <w:t>еруючись</w:t>
      </w:r>
      <w:r w:rsidR="004C32A1" w:rsidRPr="0077332E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4C32A1">
        <w:rPr>
          <w:rFonts w:ascii="Times New Roman" w:hAnsi="Times New Roman"/>
          <w:sz w:val="28"/>
          <w:szCs w:val="28"/>
          <w:lang w:val="uk-UA"/>
        </w:rPr>
        <w:t>ами</w:t>
      </w:r>
      <w:r w:rsidR="004C32A1" w:rsidRPr="0077332E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645981">
        <w:rPr>
          <w:rFonts w:ascii="Times New Roman" w:hAnsi="Times New Roman"/>
          <w:sz w:val="28"/>
          <w:szCs w:val="28"/>
          <w:lang w:val="uk-UA"/>
        </w:rPr>
        <w:t xml:space="preserve">«Про адміністративні послуги», </w:t>
      </w:r>
      <w:r w:rsidR="004C32A1">
        <w:rPr>
          <w:rFonts w:ascii="Times New Roman" w:hAnsi="Times New Roman"/>
          <w:sz w:val="28"/>
          <w:szCs w:val="28"/>
          <w:lang w:val="uk-UA"/>
        </w:rPr>
        <w:t>«Про місцеве самоврядування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в Україні</w:t>
      </w:r>
      <w:r w:rsidR="00645981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77332E" w:rsidRPr="0077332E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77332E" w:rsidRPr="0077332E" w:rsidRDefault="0077332E" w:rsidP="0077332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332E" w:rsidRPr="00D62209" w:rsidRDefault="0077332E" w:rsidP="0077332E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62209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645981" w:rsidRPr="00D62209" w:rsidRDefault="00645981" w:rsidP="00645981">
      <w:pPr>
        <w:pStyle w:val="Standard"/>
        <w:keepNext/>
        <w:keepLines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2209">
        <w:rPr>
          <w:sz w:val="28"/>
          <w:szCs w:val="28"/>
          <w:lang w:val="uk-UA"/>
        </w:rPr>
        <w:t>Інформацію</w:t>
      </w:r>
      <w:r w:rsidRPr="00D62209">
        <w:rPr>
          <w:b/>
          <w:bCs/>
          <w:sz w:val="28"/>
          <w:szCs w:val="28"/>
          <w:lang w:val="uk-UA"/>
        </w:rPr>
        <w:t xml:space="preserve"> </w:t>
      </w:r>
      <w:r w:rsidRPr="00D62209">
        <w:rPr>
          <w:bCs/>
          <w:sz w:val="28"/>
          <w:szCs w:val="28"/>
          <w:lang w:val="uk-UA"/>
        </w:rPr>
        <w:t>начальника управління Центр</w:t>
      </w:r>
      <w:r w:rsidR="00160E71">
        <w:rPr>
          <w:bCs/>
          <w:sz w:val="28"/>
          <w:szCs w:val="28"/>
          <w:lang w:val="uk-UA"/>
        </w:rPr>
        <w:t>у</w:t>
      </w:r>
      <w:r w:rsidRPr="00D62209">
        <w:rPr>
          <w:bCs/>
          <w:sz w:val="28"/>
          <w:szCs w:val="28"/>
          <w:lang w:val="uk-UA"/>
        </w:rPr>
        <w:t xml:space="preserve"> надання адміністративних послуг Бучанської міської ради </w:t>
      </w:r>
      <w:r w:rsidRPr="00D62209">
        <w:rPr>
          <w:b/>
          <w:bCs/>
          <w:sz w:val="28"/>
          <w:szCs w:val="28"/>
          <w:lang w:val="uk-UA"/>
        </w:rPr>
        <w:t xml:space="preserve"> </w:t>
      </w:r>
      <w:r w:rsidRPr="00D62209">
        <w:rPr>
          <w:sz w:val="28"/>
          <w:szCs w:val="28"/>
          <w:lang w:val="uk-UA"/>
        </w:rPr>
        <w:t xml:space="preserve">про надання </w:t>
      </w:r>
      <w:r w:rsidRPr="00645981">
        <w:rPr>
          <w:sz w:val="28"/>
          <w:szCs w:val="28"/>
          <w:lang w:val="uk-UA"/>
        </w:rPr>
        <w:t>адміністративних</w:t>
      </w:r>
      <w:r w:rsidRPr="00D62209">
        <w:rPr>
          <w:sz w:val="28"/>
          <w:szCs w:val="28"/>
          <w:lang w:val="uk-UA"/>
        </w:rPr>
        <w:t xml:space="preserve"> послуг </w:t>
      </w:r>
      <w:r w:rsidR="00D62209">
        <w:rPr>
          <w:sz w:val="28"/>
          <w:szCs w:val="28"/>
          <w:lang w:val="uk-UA"/>
        </w:rPr>
        <w:t>управлінням Центру надання адміністративних послуг Бучанської міської ради у 2021 році</w:t>
      </w:r>
      <w:r w:rsidR="00D62209" w:rsidRPr="00D62209">
        <w:rPr>
          <w:bCs/>
          <w:sz w:val="28"/>
          <w:szCs w:val="28"/>
          <w:lang w:val="uk-UA"/>
        </w:rPr>
        <w:t xml:space="preserve"> </w:t>
      </w:r>
      <w:r w:rsidRPr="00D62209">
        <w:rPr>
          <w:sz w:val="28"/>
          <w:szCs w:val="28"/>
          <w:lang w:val="uk-UA"/>
        </w:rPr>
        <w:t xml:space="preserve">  взяти до відома (додаток).</w:t>
      </w:r>
    </w:p>
    <w:p w:rsidR="00645981" w:rsidRPr="00645981" w:rsidRDefault="00645981" w:rsidP="00645981">
      <w:pPr>
        <w:pStyle w:val="Standard"/>
        <w:keepNext/>
        <w:keepLines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rFonts w:cs="Times New Roman"/>
          <w:sz w:val="28"/>
          <w:szCs w:val="28"/>
          <w:shd w:val="clear" w:color="auto" w:fill="FFFFFF"/>
          <w:lang w:val="uk-UA"/>
        </w:rPr>
      </w:pPr>
      <w:r w:rsidRPr="00645981">
        <w:rPr>
          <w:sz w:val="28"/>
          <w:szCs w:val="28"/>
          <w:lang w:val="uk-UA"/>
        </w:rPr>
        <w:t>Управлінню Центр</w:t>
      </w:r>
      <w:r w:rsidR="00D62209">
        <w:rPr>
          <w:sz w:val="28"/>
          <w:szCs w:val="28"/>
          <w:lang w:val="uk-UA"/>
        </w:rPr>
        <w:t>у</w:t>
      </w:r>
      <w:r w:rsidRPr="00645981">
        <w:rPr>
          <w:sz w:val="28"/>
          <w:szCs w:val="28"/>
          <w:lang w:val="uk-UA"/>
        </w:rPr>
        <w:t xml:space="preserve"> надання адміністративних послуг Бучанської міської </w:t>
      </w:r>
      <w:r w:rsidR="00BB6B4E">
        <w:rPr>
          <w:sz w:val="28"/>
          <w:szCs w:val="28"/>
          <w:lang w:val="uk-UA"/>
        </w:rPr>
        <w:t xml:space="preserve"> </w:t>
      </w:r>
      <w:r w:rsidRPr="00645981">
        <w:rPr>
          <w:sz w:val="28"/>
          <w:szCs w:val="28"/>
          <w:lang w:val="uk-UA"/>
        </w:rPr>
        <w:t>ради  з</w:t>
      </w:r>
      <w:r w:rsidRPr="00645981">
        <w:rPr>
          <w:rFonts w:cs="Times New Roman"/>
          <w:sz w:val="28"/>
          <w:szCs w:val="28"/>
          <w:shd w:val="clear" w:color="auto" w:fill="FFFFFF"/>
          <w:lang w:val="uk-UA"/>
        </w:rPr>
        <w:t xml:space="preserve">абезпечити постійний моніторинг стану надання адміністративних послуг та вживати заходів щодо підвищення ефективності та якості надання адміністративних послуг. </w:t>
      </w:r>
    </w:p>
    <w:p w:rsidR="00645981" w:rsidRPr="00645981" w:rsidRDefault="00645981" w:rsidP="00645981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  <w:r w:rsidRPr="00645981">
        <w:rPr>
          <w:rFonts w:cs="Times New Roman"/>
          <w:sz w:val="28"/>
          <w:szCs w:val="28"/>
          <w:shd w:val="clear" w:color="auto" w:fill="FFFFFF"/>
          <w:lang w:val="ru-RU"/>
        </w:rPr>
        <w:t xml:space="preserve">3. </w:t>
      </w:r>
      <w:r w:rsidRPr="00645981">
        <w:rPr>
          <w:sz w:val="28"/>
          <w:szCs w:val="28"/>
          <w:lang w:val="uk-UA"/>
        </w:rPr>
        <w:t>Контроль за виконанням рішення покласти на керуючого справами Бучанської міської ради Гапченка Д.О.</w:t>
      </w:r>
    </w:p>
    <w:p w:rsidR="0077332E" w:rsidRDefault="0077332E" w:rsidP="00160515">
      <w:pPr>
        <w:tabs>
          <w:tab w:val="num" w:pos="0"/>
        </w:tabs>
        <w:ind w:firstLine="284"/>
        <w:rPr>
          <w:rFonts w:ascii="Times New Roman" w:hAnsi="Times New Roman"/>
          <w:b/>
          <w:sz w:val="28"/>
          <w:szCs w:val="28"/>
          <w:lang w:val="uk-UA"/>
        </w:rPr>
      </w:pPr>
    </w:p>
    <w:p w:rsidR="004E408D" w:rsidRDefault="004E408D" w:rsidP="00160515">
      <w:pPr>
        <w:tabs>
          <w:tab w:val="num" w:pos="0"/>
        </w:tabs>
        <w:ind w:firstLine="284"/>
        <w:rPr>
          <w:rFonts w:ascii="Times New Roman" w:hAnsi="Times New Roman"/>
          <w:b/>
          <w:sz w:val="28"/>
          <w:szCs w:val="28"/>
          <w:lang w:val="uk-UA"/>
        </w:rPr>
      </w:pPr>
    </w:p>
    <w:p w:rsidR="0077332E" w:rsidRPr="0077332E" w:rsidRDefault="0077332E" w:rsidP="0077332E">
      <w:pPr>
        <w:rPr>
          <w:rFonts w:ascii="Times New Roman" w:hAnsi="Times New Roman"/>
          <w:b/>
          <w:sz w:val="28"/>
          <w:szCs w:val="28"/>
        </w:rPr>
      </w:pPr>
      <w:r w:rsidRPr="0077332E">
        <w:rPr>
          <w:rFonts w:ascii="Times New Roman" w:hAnsi="Times New Roman"/>
          <w:b/>
          <w:sz w:val="28"/>
          <w:szCs w:val="28"/>
        </w:rPr>
        <w:t>Міський голова</w:t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Анатолій ФЕДОРУК</w:t>
      </w:r>
      <w:r w:rsidRPr="0077332E">
        <w:rPr>
          <w:rFonts w:ascii="Times New Roman" w:hAnsi="Times New Roman"/>
          <w:b/>
          <w:sz w:val="28"/>
          <w:szCs w:val="28"/>
        </w:rPr>
        <w:t xml:space="preserve"> </w:t>
      </w:r>
    </w:p>
    <w:p w:rsidR="0077332E" w:rsidRDefault="0077332E" w:rsidP="0077332E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7332E" w:rsidRDefault="0077332E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BC56C6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C56C6" w:rsidTr="00573C25">
        <w:trPr>
          <w:trHeight w:val="1447"/>
          <w:jc w:val="center"/>
        </w:trPr>
        <w:tc>
          <w:tcPr>
            <w:tcW w:w="2873" w:type="dxa"/>
          </w:tcPr>
          <w:p w:rsidR="00BC56C6" w:rsidRPr="003619DF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BC56C6" w:rsidRPr="0013621A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BC56C6" w:rsidRPr="0013621A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BC56C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BC56C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BC56C6" w:rsidRPr="00BE6C32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BC56C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E9689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Сергій ШЕПЕТЬКО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   </w:t>
            </w:r>
          </w:p>
        </w:tc>
      </w:tr>
      <w:tr w:rsidR="00BC56C6" w:rsidRPr="00E96896" w:rsidTr="00573C25">
        <w:trPr>
          <w:trHeight w:val="1447"/>
          <w:jc w:val="center"/>
        </w:trPr>
        <w:tc>
          <w:tcPr>
            <w:tcW w:w="2873" w:type="dxa"/>
          </w:tcPr>
          <w:p w:rsidR="00BC56C6" w:rsidRPr="003619DF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Керуючий справами міської ради</w:t>
            </w:r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113" w:type="dxa"/>
            <w:vAlign w:val="center"/>
          </w:tcPr>
          <w:p w:rsidR="00BC56C6" w:rsidRPr="0013621A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BC56C6" w:rsidRPr="0013621A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BC56C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BC56C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BC56C6" w:rsidRPr="00BE6C32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BC56C6" w:rsidRPr="00E9689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E96896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  <w:tr w:rsidR="00BC56C6" w:rsidTr="00573C25">
        <w:trPr>
          <w:trHeight w:val="1447"/>
          <w:jc w:val="center"/>
        </w:trPr>
        <w:tc>
          <w:tcPr>
            <w:tcW w:w="2873" w:type="dxa"/>
          </w:tcPr>
          <w:p w:rsidR="00BC56C6" w:rsidRDefault="00BC56C6" w:rsidP="00573C25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</w:t>
            </w:r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ачальника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управління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юридично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  <w:p w:rsidR="00BC56C6" w:rsidRPr="003619DF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кадрової  роботи</w:t>
            </w:r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113" w:type="dxa"/>
            <w:vAlign w:val="center"/>
          </w:tcPr>
          <w:p w:rsidR="00BC56C6" w:rsidRPr="0013621A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BC56C6" w:rsidRPr="0013621A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BC56C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BC56C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BC56C6" w:rsidRPr="00BE6C32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BC56C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902F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BC56C6" w:rsidTr="00573C25">
        <w:trPr>
          <w:trHeight w:val="1447"/>
          <w:jc w:val="center"/>
        </w:trPr>
        <w:tc>
          <w:tcPr>
            <w:tcW w:w="2873" w:type="dxa"/>
          </w:tcPr>
          <w:p w:rsidR="00BC56C6" w:rsidRPr="003619DF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ЦНАП</w:t>
            </w:r>
          </w:p>
        </w:tc>
        <w:tc>
          <w:tcPr>
            <w:tcW w:w="3113" w:type="dxa"/>
            <w:vAlign w:val="center"/>
          </w:tcPr>
          <w:p w:rsidR="00BC56C6" w:rsidRPr="0013621A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BC56C6" w:rsidRPr="0013621A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BC56C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BC56C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BC56C6" w:rsidRPr="00BE6C32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BC56C6" w:rsidRDefault="00BC56C6" w:rsidP="00573C2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Оксана МИХАЛЬЧУК</w:t>
            </w:r>
          </w:p>
        </w:tc>
      </w:tr>
    </w:tbl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C56C6" w:rsidRPr="00BC56C6" w:rsidRDefault="00BC56C6" w:rsidP="0077332E">
      <w:pPr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D51E94" w:rsidRPr="00A400A9" w:rsidRDefault="00D51E94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</w:p>
    <w:p w:rsidR="00D51E94" w:rsidRPr="00A400A9" w:rsidRDefault="007F4AD8" w:rsidP="00A400A9">
      <w:pPr>
        <w:spacing w:after="0"/>
        <w:ind w:left="6096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№ 72</w:t>
      </w:r>
      <w:bookmarkStart w:id="0" w:name="_GoBack"/>
      <w:bookmarkEnd w:id="0"/>
    </w:p>
    <w:p w:rsidR="00D51E94" w:rsidRPr="00A400A9" w:rsidRDefault="00D51E94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D51E94" w:rsidRPr="00A400A9" w:rsidRDefault="00D51E94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Бучанської міської ради</w:t>
      </w:r>
    </w:p>
    <w:p w:rsidR="00D51E94" w:rsidRPr="00F958CA" w:rsidRDefault="00D51E94" w:rsidP="00A400A9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  <w:r w:rsidRPr="00F958CA">
        <w:rPr>
          <w:rFonts w:ascii="Times New Roman" w:hAnsi="Times New Roman"/>
          <w:sz w:val="28"/>
          <w:szCs w:val="28"/>
          <w:lang w:val="uk-UA"/>
        </w:rPr>
        <w:t>від «</w:t>
      </w:r>
      <w:r w:rsidR="00645981">
        <w:rPr>
          <w:rFonts w:ascii="Times New Roman" w:hAnsi="Times New Roman"/>
          <w:sz w:val="28"/>
          <w:szCs w:val="28"/>
          <w:lang w:val="uk-UA"/>
        </w:rPr>
        <w:t>15</w:t>
      </w:r>
      <w:r w:rsidRPr="00F958CA">
        <w:rPr>
          <w:rFonts w:ascii="Times New Roman" w:hAnsi="Times New Roman"/>
          <w:sz w:val="28"/>
          <w:szCs w:val="28"/>
          <w:lang w:val="uk-UA"/>
        </w:rPr>
        <w:t xml:space="preserve"> » </w:t>
      </w:r>
      <w:r w:rsidR="00645981">
        <w:rPr>
          <w:rFonts w:ascii="Times New Roman" w:hAnsi="Times New Roman"/>
          <w:sz w:val="28"/>
          <w:szCs w:val="28"/>
          <w:lang w:val="uk-UA"/>
        </w:rPr>
        <w:t>лютого</w:t>
      </w:r>
      <w:r w:rsidRPr="00F958CA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Pr="00A400A9">
        <w:rPr>
          <w:rFonts w:ascii="Times New Roman" w:hAnsi="Times New Roman"/>
          <w:sz w:val="28"/>
          <w:szCs w:val="28"/>
          <w:lang w:val="uk-UA"/>
        </w:rPr>
        <w:t>2</w:t>
      </w:r>
      <w:r w:rsidRPr="00F958CA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D51E94" w:rsidRPr="00A400A9" w:rsidRDefault="00D51E94" w:rsidP="00D51E9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51E94" w:rsidRPr="00A400A9" w:rsidRDefault="00D51E94" w:rsidP="00D51E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00A9">
        <w:rPr>
          <w:rFonts w:ascii="Times New Roman" w:hAnsi="Times New Roman"/>
          <w:b/>
          <w:sz w:val="28"/>
          <w:szCs w:val="28"/>
        </w:rPr>
        <w:t>Інформація</w:t>
      </w:r>
    </w:p>
    <w:p w:rsidR="00D51E94" w:rsidRPr="00645981" w:rsidRDefault="00D51E94" w:rsidP="00D51E9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400A9">
        <w:rPr>
          <w:rFonts w:ascii="Times New Roman" w:hAnsi="Times New Roman"/>
          <w:b/>
          <w:sz w:val="28"/>
          <w:szCs w:val="28"/>
        </w:rPr>
        <w:t xml:space="preserve">про </w:t>
      </w:r>
      <w:r w:rsidR="00645981">
        <w:rPr>
          <w:rFonts w:ascii="Times New Roman" w:hAnsi="Times New Roman"/>
          <w:b/>
          <w:sz w:val="28"/>
          <w:szCs w:val="28"/>
          <w:lang w:val="uk-UA"/>
        </w:rPr>
        <w:t>надання адміністративних послуг управлінням Центр</w:t>
      </w:r>
      <w:r w:rsidR="00D62209">
        <w:rPr>
          <w:rFonts w:ascii="Times New Roman" w:hAnsi="Times New Roman"/>
          <w:b/>
          <w:sz w:val="28"/>
          <w:szCs w:val="28"/>
          <w:lang w:val="uk-UA"/>
        </w:rPr>
        <w:t>у</w:t>
      </w:r>
      <w:r w:rsidR="00645981">
        <w:rPr>
          <w:rFonts w:ascii="Times New Roman" w:hAnsi="Times New Roman"/>
          <w:b/>
          <w:sz w:val="28"/>
          <w:szCs w:val="28"/>
          <w:lang w:val="uk-UA"/>
        </w:rPr>
        <w:t xml:space="preserve"> надання адміністративних послуг</w:t>
      </w:r>
      <w:r w:rsidR="00D62209">
        <w:rPr>
          <w:rFonts w:ascii="Times New Roman" w:hAnsi="Times New Roman"/>
          <w:b/>
          <w:sz w:val="28"/>
          <w:szCs w:val="28"/>
          <w:lang w:val="uk-UA"/>
        </w:rPr>
        <w:t xml:space="preserve"> Бучанської міської ради</w:t>
      </w:r>
      <w:r w:rsidR="00645981">
        <w:rPr>
          <w:rFonts w:ascii="Times New Roman" w:hAnsi="Times New Roman"/>
          <w:b/>
          <w:sz w:val="28"/>
          <w:szCs w:val="28"/>
          <w:lang w:val="uk-UA"/>
        </w:rPr>
        <w:t xml:space="preserve"> у 2021 році</w:t>
      </w:r>
    </w:p>
    <w:p w:rsidR="002500BF" w:rsidRDefault="002500BF" w:rsidP="002500BF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00BF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Станом на 31.12.2021</w:t>
      </w:r>
      <w:r w:rsidRPr="00E10340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>управління Центр</w:t>
      </w:r>
      <w:r w:rsidR="00D057C5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надання адміністративних послуг Бучанської міської ради (далі – управління ЦНАП) працювало</w:t>
      </w:r>
      <w:r w:rsidRPr="00E10340">
        <w:rPr>
          <w:rFonts w:ascii="Times New Roman" w:hAnsi="Times New Roman"/>
          <w:sz w:val="28"/>
          <w:szCs w:val="28"/>
        </w:rPr>
        <w:t xml:space="preserve"> над організацією надання якісних адміністративних послуг, спрощенням процедури їх отримання, розширення переліку адміністративних послуг та вдосконаленням своєї роботи відповідно до вимог чинного законодавства.</w:t>
      </w:r>
    </w:p>
    <w:p w:rsidR="002500BF" w:rsidRDefault="001B7646" w:rsidP="002500BF">
      <w:pPr>
        <w:pStyle w:val="a4"/>
        <w:widowControl w:val="0"/>
        <w:tabs>
          <w:tab w:val="left" w:pos="993"/>
        </w:tabs>
        <w:snapToGri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2500BF">
        <w:rPr>
          <w:rFonts w:ascii="Times New Roman" w:hAnsi="Times New Roman"/>
          <w:sz w:val="28"/>
          <w:szCs w:val="28"/>
        </w:rPr>
        <w:t>2021 ро</w:t>
      </w:r>
      <w:r>
        <w:rPr>
          <w:rFonts w:ascii="Times New Roman" w:hAnsi="Times New Roman"/>
          <w:sz w:val="28"/>
          <w:szCs w:val="28"/>
          <w:lang w:val="uk-UA"/>
        </w:rPr>
        <w:t>ці</w:t>
      </w:r>
      <w:r w:rsidR="002500BF">
        <w:rPr>
          <w:rFonts w:ascii="Times New Roman" w:hAnsi="Times New Roman"/>
          <w:sz w:val="28"/>
          <w:szCs w:val="28"/>
        </w:rPr>
        <w:t xml:space="preserve"> до у</w:t>
      </w:r>
      <w:r w:rsidR="002500BF" w:rsidRPr="000652C3">
        <w:rPr>
          <w:rFonts w:ascii="Times New Roman" w:hAnsi="Times New Roman"/>
          <w:sz w:val="28"/>
          <w:szCs w:val="28"/>
        </w:rPr>
        <w:t>правління ЦНАП</w:t>
      </w:r>
      <w:r w:rsidR="002500BF">
        <w:rPr>
          <w:rFonts w:ascii="Times New Roman" w:hAnsi="Times New Roman"/>
          <w:sz w:val="28"/>
          <w:szCs w:val="28"/>
        </w:rPr>
        <w:t xml:space="preserve"> Бучанської міської ради та адміністраторів віддалених робочих місць </w:t>
      </w:r>
      <w:r>
        <w:rPr>
          <w:rFonts w:ascii="Times New Roman" w:hAnsi="Times New Roman"/>
          <w:sz w:val="28"/>
          <w:szCs w:val="28"/>
          <w:lang w:val="uk-UA"/>
        </w:rPr>
        <w:t>старостатів</w:t>
      </w:r>
      <w:r w:rsidR="002500BF" w:rsidRPr="000652C3">
        <w:rPr>
          <w:rFonts w:ascii="Times New Roman" w:hAnsi="Times New Roman"/>
          <w:sz w:val="28"/>
          <w:szCs w:val="28"/>
        </w:rPr>
        <w:t xml:space="preserve"> </w:t>
      </w:r>
      <w:r w:rsidR="002500BF">
        <w:rPr>
          <w:rFonts w:ascii="Times New Roman" w:hAnsi="Times New Roman"/>
          <w:sz w:val="28"/>
          <w:szCs w:val="28"/>
        </w:rPr>
        <w:t xml:space="preserve">надійшло </w:t>
      </w:r>
      <w:r w:rsidR="002500BF" w:rsidRPr="00D057C5">
        <w:rPr>
          <w:rFonts w:ascii="Times New Roman" w:hAnsi="Times New Roman"/>
          <w:b/>
          <w:sz w:val="28"/>
          <w:szCs w:val="28"/>
        </w:rPr>
        <w:t>53877</w:t>
      </w:r>
      <w:r w:rsidR="002500BF" w:rsidRPr="00E63F98">
        <w:rPr>
          <w:rFonts w:ascii="Times New Roman" w:hAnsi="Times New Roman"/>
          <w:sz w:val="28"/>
          <w:szCs w:val="28"/>
        </w:rPr>
        <w:t xml:space="preserve"> </w:t>
      </w:r>
      <w:r w:rsidR="002500BF">
        <w:rPr>
          <w:rFonts w:ascii="Times New Roman" w:hAnsi="Times New Roman"/>
          <w:sz w:val="28"/>
          <w:szCs w:val="28"/>
        </w:rPr>
        <w:t>звернень від громадян та суб’єктів господарювання щодо отримання</w:t>
      </w:r>
      <w:r w:rsidR="002500BF" w:rsidRPr="000652C3">
        <w:rPr>
          <w:rFonts w:ascii="Times New Roman" w:hAnsi="Times New Roman"/>
          <w:sz w:val="28"/>
          <w:szCs w:val="28"/>
        </w:rPr>
        <w:t xml:space="preserve"> </w:t>
      </w:r>
      <w:r w:rsidR="002500BF">
        <w:rPr>
          <w:rFonts w:ascii="Times New Roman" w:hAnsi="Times New Roman"/>
          <w:sz w:val="28"/>
          <w:szCs w:val="28"/>
        </w:rPr>
        <w:t>адміністративних послуг.</w:t>
      </w:r>
    </w:p>
    <w:p w:rsidR="002500BF" w:rsidRDefault="002500BF" w:rsidP="002500BF">
      <w:pPr>
        <w:pStyle w:val="a4"/>
        <w:widowControl w:val="0"/>
        <w:tabs>
          <w:tab w:val="left" w:pos="993"/>
        </w:tabs>
        <w:snapToGri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них:</w:t>
      </w:r>
    </w:p>
    <w:p w:rsidR="00D62209" w:rsidRPr="00D62209" w:rsidRDefault="002500BF" w:rsidP="00D62209">
      <w:pPr>
        <w:pStyle w:val="a4"/>
        <w:widowControl w:val="0"/>
        <w:numPr>
          <w:ilvl w:val="0"/>
          <w:numId w:val="8"/>
        </w:numPr>
        <w:tabs>
          <w:tab w:val="left" w:pos="851"/>
        </w:tabs>
        <w:snapToGrid w:val="0"/>
        <w:spacing w:after="0"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2209">
        <w:rPr>
          <w:rFonts w:ascii="Times New Roman" w:hAnsi="Times New Roman"/>
          <w:b/>
          <w:sz w:val="28"/>
          <w:szCs w:val="28"/>
        </w:rPr>
        <w:t>37724</w:t>
      </w:r>
      <w:r w:rsidRPr="00935E9E">
        <w:rPr>
          <w:rFonts w:ascii="Times New Roman" w:hAnsi="Times New Roman"/>
          <w:sz w:val="28"/>
          <w:szCs w:val="28"/>
        </w:rPr>
        <w:t xml:space="preserve"> надано послуг адміністраторами управління ЦНАП та адміністраторами віддалених робочих місць старостинських округів</w:t>
      </w:r>
      <w:r w:rsidR="00D62209">
        <w:rPr>
          <w:rFonts w:ascii="Times New Roman" w:hAnsi="Times New Roman"/>
          <w:sz w:val="28"/>
          <w:szCs w:val="28"/>
          <w:lang w:val="uk-UA"/>
        </w:rPr>
        <w:t xml:space="preserve"> (29889 послуг у 2020 році, що на 21% більше ніж у минулому році):</w:t>
      </w:r>
      <w:r w:rsidRPr="00935E9E">
        <w:rPr>
          <w:rFonts w:ascii="Times New Roman" w:hAnsi="Times New Roman"/>
          <w:sz w:val="28"/>
          <w:szCs w:val="28"/>
        </w:rPr>
        <w:t xml:space="preserve"> </w:t>
      </w:r>
    </w:p>
    <w:p w:rsidR="00D62209" w:rsidRDefault="002500BF" w:rsidP="00D62209">
      <w:pPr>
        <w:pStyle w:val="a4"/>
        <w:widowControl w:val="0"/>
        <w:numPr>
          <w:ilvl w:val="0"/>
          <w:numId w:val="12"/>
        </w:numPr>
        <w:tabs>
          <w:tab w:val="left" w:pos="851"/>
        </w:tabs>
        <w:snapToGrid w:val="0"/>
        <w:spacing w:after="0" w:line="276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62209">
        <w:rPr>
          <w:rFonts w:ascii="Times New Roman" w:hAnsi="Times New Roman"/>
          <w:sz w:val="28"/>
          <w:szCs w:val="28"/>
          <w:lang w:val="uk-UA"/>
        </w:rPr>
        <w:t>29517 адміністративних послуг надано безпосередньо адміністраторами управління ЦНАП Бу</w:t>
      </w:r>
      <w:r w:rsidR="00D62209">
        <w:rPr>
          <w:rFonts w:ascii="Times New Roman" w:hAnsi="Times New Roman"/>
          <w:sz w:val="28"/>
          <w:szCs w:val="28"/>
          <w:lang w:val="uk-UA"/>
        </w:rPr>
        <w:t>чанської міської ради;</w:t>
      </w:r>
    </w:p>
    <w:p w:rsidR="002500BF" w:rsidRPr="00D62209" w:rsidRDefault="002500BF" w:rsidP="00D62209">
      <w:pPr>
        <w:pStyle w:val="a4"/>
        <w:widowControl w:val="0"/>
        <w:numPr>
          <w:ilvl w:val="0"/>
          <w:numId w:val="12"/>
        </w:numPr>
        <w:tabs>
          <w:tab w:val="left" w:pos="851"/>
        </w:tabs>
        <w:snapToGrid w:val="0"/>
        <w:spacing w:after="0" w:line="276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62209">
        <w:rPr>
          <w:rFonts w:ascii="Times New Roman" w:hAnsi="Times New Roman"/>
          <w:sz w:val="28"/>
          <w:szCs w:val="28"/>
          <w:lang w:val="uk-UA"/>
        </w:rPr>
        <w:t>8207 адміністративних послуг надано адміністраторами віддалених робочих місць старос</w:t>
      </w:r>
      <w:r w:rsidR="00F56411">
        <w:rPr>
          <w:rFonts w:ascii="Times New Roman" w:hAnsi="Times New Roman"/>
          <w:sz w:val="28"/>
          <w:szCs w:val="28"/>
          <w:lang w:val="uk-UA"/>
        </w:rPr>
        <w:t>тинських округів</w:t>
      </w:r>
      <w:r w:rsidRPr="00D62209">
        <w:rPr>
          <w:rFonts w:ascii="Times New Roman" w:hAnsi="Times New Roman"/>
          <w:sz w:val="28"/>
          <w:szCs w:val="28"/>
          <w:lang w:val="uk-UA"/>
        </w:rPr>
        <w:t>;</w:t>
      </w:r>
    </w:p>
    <w:p w:rsidR="002500BF" w:rsidRDefault="002500BF" w:rsidP="00D62209">
      <w:pPr>
        <w:pStyle w:val="a4"/>
        <w:widowControl w:val="0"/>
        <w:numPr>
          <w:ilvl w:val="0"/>
          <w:numId w:val="8"/>
        </w:numPr>
        <w:tabs>
          <w:tab w:val="left" w:pos="851"/>
        </w:tabs>
        <w:snapToGrid w:val="0"/>
        <w:spacing w:after="0"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2209">
        <w:rPr>
          <w:rFonts w:ascii="Times New Roman" w:hAnsi="Times New Roman"/>
          <w:b/>
          <w:sz w:val="28"/>
          <w:szCs w:val="28"/>
        </w:rPr>
        <w:t xml:space="preserve">5716 </w:t>
      </w:r>
      <w:r>
        <w:rPr>
          <w:rFonts w:ascii="Times New Roman" w:hAnsi="Times New Roman"/>
          <w:sz w:val="28"/>
          <w:szCs w:val="28"/>
        </w:rPr>
        <w:t>послуг надано представниками установ, які розміщені в управлінні ЦНАП;</w:t>
      </w:r>
    </w:p>
    <w:p w:rsidR="002500BF" w:rsidRPr="00B95CC1" w:rsidRDefault="002500BF" w:rsidP="00D62209">
      <w:pPr>
        <w:pStyle w:val="a4"/>
        <w:widowControl w:val="0"/>
        <w:numPr>
          <w:ilvl w:val="0"/>
          <w:numId w:val="8"/>
        </w:numPr>
        <w:tabs>
          <w:tab w:val="left" w:pos="567"/>
        </w:tabs>
        <w:snapToGrid w:val="0"/>
        <w:spacing w:after="0"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4967">
        <w:rPr>
          <w:rFonts w:ascii="Times New Roman" w:hAnsi="Times New Roman"/>
          <w:sz w:val="28"/>
          <w:szCs w:val="28"/>
        </w:rPr>
        <w:t xml:space="preserve"> </w:t>
      </w:r>
      <w:r w:rsidRPr="00434967">
        <w:rPr>
          <w:rFonts w:ascii="Times New Roman" w:hAnsi="Times New Roman"/>
          <w:b/>
          <w:sz w:val="28"/>
          <w:szCs w:val="28"/>
        </w:rPr>
        <w:t>10437</w:t>
      </w:r>
      <w:r w:rsidRPr="00434967">
        <w:rPr>
          <w:rFonts w:ascii="Times New Roman" w:hAnsi="Times New Roman"/>
          <w:sz w:val="28"/>
          <w:szCs w:val="28"/>
        </w:rPr>
        <w:t xml:space="preserve"> прийнято звернень від  фізичних, юридичних осіб до виконавчого комітету Бучанської міс</w:t>
      </w:r>
      <w:r w:rsidR="00434967" w:rsidRPr="00434967">
        <w:rPr>
          <w:rFonts w:ascii="Times New Roman" w:hAnsi="Times New Roman"/>
          <w:sz w:val="28"/>
          <w:szCs w:val="28"/>
        </w:rPr>
        <w:t>ької ради</w:t>
      </w:r>
      <w:r w:rsidR="00434967" w:rsidRPr="00434967">
        <w:rPr>
          <w:rFonts w:ascii="Times New Roman" w:hAnsi="Times New Roman"/>
          <w:sz w:val="28"/>
          <w:szCs w:val="28"/>
          <w:lang w:val="uk-UA"/>
        </w:rPr>
        <w:t xml:space="preserve"> (5052- звернень фізичних осіб</w:t>
      </w:r>
      <w:r w:rsidR="00BA1F03">
        <w:rPr>
          <w:rFonts w:ascii="Times New Roman" w:hAnsi="Times New Roman"/>
          <w:sz w:val="28"/>
          <w:szCs w:val="28"/>
          <w:lang w:val="uk-UA"/>
        </w:rPr>
        <w:t xml:space="preserve"> (1009 – звернень до старостатів)</w:t>
      </w:r>
      <w:r w:rsidR="00434967" w:rsidRPr="00434967">
        <w:rPr>
          <w:rFonts w:ascii="Times New Roman" w:hAnsi="Times New Roman"/>
          <w:sz w:val="28"/>
          <w:szCs w:val="28"/>
          <w:lang w:val="uk-UA"/>
        </w:rPr>
        <w:t>, 3982 - звернень юридичних осіб, 830-  запитів на інформацію, 335 звернень на особистий прийом до міського голови, 238 - депутатських звернень).</w:t>
      </w:r>
    </w:p>
    <w:p w:rsidR="002500BF" w:rsidRDefault="002500BF" w:rsidP="002500BF">
      <w:pPr>
        <w:widowControl w:val="0"/>
        <w:tabs>
          <w:tab w:val="left" w:pos="993"/>
        </w:tabs>
        <w:snapToGri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C3B9F">
        <w:rPr>
          <w:rFonts w:ascii="Times New Roman" w:hAnsi="Times New Roman"/>
          <w:sz w:val="28"/>
          <w:szCs w:val="28"/>
        </w:rPr>
        <w:t>Варто відмітити, що із загальної кількості адміністративних послуг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208B">
        <w:rPr>
          <w:rFonts w:ascii="Times New Roman" w:hAnsi="Times New Roman"/>
          <w:sz w:val="28"/>
          <w:szCs w:val="28"/>
        </w:rPr>
        <w:t>(37724</w:t>
      </w:r>
      <w:r>
        <w:rPr>
          <w:rFonts w:ascii="Times New Roman" w:hAnsi="Times New Roman"/>
          <w:sz w:val="28"/>
          <w:szCs w:val="28"/>
        </w:rPr>
        <w:t xml:space="preserve"> послуг),</w:t>
      </w:r>
      <w:r w:rsidRPr="00FC3B9F">
        <w:rPr>
          <w:rFonts w:ascii="Times New Roman" w:hAnsi="Times New Roman"/>
          <w:sz w:val="28"/>
          <w:szCs w:val="28"/>
        </w:rPr>
        <w:t xml:space="preserve"> наданих адміністраторами управління</w:t>
      </w:r>
      <w:r>
        <w:rPr>
          <w:rFonts w:ascii="Times New Roman" w:hAnsi="Times New Roman"/>
          <w:sz w:val="28"/>
          <w:szCs w:val="28"/>
        </w:rPr>
        <w:t xml:space="preserve"> ЦНАП</w:t>
      </w:r>
      <w:r w:rsidRPr="00FC3B9F">
        <w:rPr>
          <w:rFonts w:ascii="Times New Roman" w:hAnsi="Times New Roman"/>
          <w:sz w:val="28"/>
          <w:szCs w:val="28"/>
        </w:rPr>
        <w:t xml:space="preserve"> та віддаленими робочими місцями</w:t>
      </w:r>
      <w:r w:rsidR="00F564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C3B9F">
        <w:rPr>
          <w:rFonts w:ascii="Times New Roman" w:hAnsi="Times New Roman"/>
          <w:sz w:val="28"/>
          <w:szCs w:val="28"/>
        </w:rPr>
        <w:t xml:space="preserve"> </w:t>
      </w:r>
      <w:r w:rsidR="00D62209">
        <w:rPr>
          <w:rFonts w:ascii="Times New Roman" w:hAnsi="Times New Roman"/>
          <w:sz w:val="28"/>
          <w:szCs w:val="28"/>
          <w:lang w:val="uk-UA"/>
        </w:rPr>
        <w:t>98,8% (</w:t>
      </w:r>
      <w:r w:rsidRPr="0088208B">
        <w:rPr>
          <w:rFonts w:ascii="Times New Roman" w:hAnsi="Times New Roman"/>
          <w:sz w:val="28"/>
          <w:szCs w:val="28"/>
        </w:rPr>
        <w:t>37234</w:t>
      </w:r>
      <w:r w:rsidR="00D62209">
        <w:rPr>
          <w:rFonts w:ascii="Times New Roman" w:hAnsi="Times New Roman"/>
          <w:sz w:val="28"/>
          <w:szCs w:val="28"/>
          <w:lang w:val="uk-UA"/>
        </w:rPr>
        <w:t>)</w:t>
      </w:r>
      <w:r w:rsidRPr="00FC3B9F">
        <w:rPr>
          <w:rFonts w:ascii="Times New Roman" w:hAnsi="Times New Roman"/>
          <w:sz w:val="28"/>
          <w:szCs w:val="28"/>
        </w:rPr>
        <w:t xml:space="preserve"> послуг були н</w:t>
      </w:r>
      <w:r>
        <w:rPr>
          <w:rFonts w:ascii="Times New Roman" w:hAnsi="Times New Roman"/>
          <w:sz w:val="28"/>
          <w:szCs w:val="28"/>
        </w:rPr>
        <w:t xml:space="preserve">адані з позитивним результатом. </w:t>
      </w:r>
    </w:p>
    <w:p w:rsidR="002500BF" w:rsidRPr="00FC3B9F" w:rsidRDefault="002500BF" w:rsidP="002500BF">
      <w:pPr>
        <w:widowControl w:val="0"/>
        <w:tabs>
          <w:tab w:val="left" w:pos="993"/>
        </w:tabs>
        <w:snapToGri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C3B9F">
        <w:rPr>
          <w:rFonts w:ascii="Times New Roman" w:hAnsi="Times New Roman"/>
          <w:sz w:val="28"/>
          <w:szCs w:val="28"/>
        </w:rPr>
        <w:t>ількість відмов –</w:t>
      </w:r>
      <w:r w:rsidR="00F564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3B9F">
        <w:rPr>
          <w:rFonts w:ascii="Times New Roman" w:hAnsi="Times New Roman"/>
          <w:sz w:val="28"/>
          <w:szCs w:val="28"/>
        </w:rPr>
        <w:t xml:space="preserve">490, що становить 1,3% від загальної кількості звернень. </w:t>
      </w:r>
    </w:p>
    <w:p w:rsidR="002500BF" w:rsidRPr="000652C3" w:rsidRDefault="002500BF" w:rsidP="002500B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652C3">
        <w:rPr>
          <w:rFonts w:ascii="Times New Roman" w:hAnsi="Times New Roman"/>
          <w:sz w:val="28"/>
          <w:szCs w:val="28"/>
          <w:shd w:val="clear" w:color="auto" w:fill="FFFFFF"/>
        </w:rPr>
        <w:t xml:space="preserve">Зменшення кількості відмов свідчить про підвищення якості надання адміністративних послуг та кваліфіковане обслуговування адміністраторами </w:t>
      </w:r>
      <w:r w:rsidR="00F564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управління ЦНАП</w:t>
      </w:r>
      <w:r w:rsidRPr="000652C3">
        <w:rPr>
          <w:rFonts w:ascii="Times New Roman" w:hAnsi="Times New Roman"/>
          <w:sz w:val="28"/>
          <w:szCs w:val="28"/>
          <w:shd w:val="clear" w:color="auto" w:fill="FFFFFF"/>
        </w:rPr>
        <w:t xml:space="preserve"> суб’єктів звернень на етапі підготовки та подачі документів. </w:t>
      </w:r>
      <w:r w:rsidRPr="000652C3">
        <w:rPr>
          <w:rFonts w:ascii="Times New Roman" w:hAnsi="Times New Roman"/>
          <w:sz w:val="28"/>
          <w:szCs w:val="28"/>
        </w:rPr>
        <w:t xml:space="preserve">     </w:t>
      </w:r>
    </w:p>
    <w:p w:rsidR="002500BF" w:rsidRPr="000652C3" w:rsidRDefault="002500BF" w:rsidP="002500B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652C3">
        <w:rPr>
          <w:rFonts w:ascii="Times New Roman" w:hAnsi="Times New Roman"/>
          <w:sz w:val="28"/>
          <w:szCs w:val="28"/>
        </w:rPr>
        <w:t>Надано консультацій як в телефонному та он-лайн  режимі, а також особисто адміністраторами ЦНАП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52C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26652</w:t>
      </w:r>
      <w:r w:rsidRPr="000652C3">
        <w:rPr>
          <w:rFonts w:ascii="Times New Roman" w:hAnsi="Times New Roman"/>
          <w:sz w:val="28"/>
          <w:szCs w:val="28"/>
        </w:rPr>
        <w:t>.</w:t>
      </w:r>
    </w:p>
    <w:p w:rsidR="002500BF" w:rsidRPr="000652C3" w:rsidRDefault="002500BF" w:rsidP="002500BF">
      <w:pPr>
        <w:pStyle w:val="a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 </w:t>
      </w:r>
      <w:r w:rsidRPr="000652C3">
        <w:rPr>
          <w:sz w:val="28"/>
          <w:szCs w:val="28"/>
        </w:rPr>
        <w:t>У звітному періоді за платні послуги, з яких  стягується адміністративний збір, до місцевого бюджету надійшло коштів на суму близько</w:t>
      </w:r>
      <w:r>
        <w:rPr>
          <w:sz w:val="28"/>
          <w:szCs w:val="28"/>
        </w:rPr>
        <w:t xml:space="preserve"> 4</w:t>
      </w:r>
      <w:r w:rsidR="00F56411">
        <w:rPr>
          <w:sz w:val="28"/>
          <w:szCs w:val="28"/>
        </w:rPr>
        <w:t> </w:t>
      </w:r>
      <w:r>
        <w:rPr>
          <w:sz w:val="28"/>
          <w:szCs w:val="28"/>
        </w:rPr>
        <w:t>104</w:t>
      </w:r>
      <w:r w:rsidR="00F56411">
        <w:rPr>
          <w:sz w:val="28"/>
          <w:szCs w:val="28"/>
        </w:rPr>
        <w:t xml:space="preserve"> </w:t>
      </w:r>
      <w:r>
        <w:rPr>
          <w:sz w:val="28"/>
          <w:szCs w:val="28"/>
        </w:rPr>
        <w:t>338</w:t>
      </w:r>
      <w:r w:rsidRPr="000652C3">
        <w:rPr>
          <w:sz w:val="28"/>
          <w:szCs w:val="28"/>
        </w:rPr>
        <w:t xml:space="preserve"> грн.</w:t>
      </w:r>
    </w:p>
    <w:p w:rsidR="002500BF" w:rsidRPr="000652C3" w:rsidRDefault="002500BF" w:rsidP="002500BF">
      <w:pPr>
        <w:pStyle w:val="a7"/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652C3">
        <w:rPr>
          <w:color w:val="333333"/>
          <w:sz w:val="28"/>
          <w:szCs w:val="28"/>
          <w:shd w:val="clear" w:color="auto" w:fill="FFFFFF"/>
        </w:rPr>
        <w:t> </w:t>
      </w:r>
      <w:r>
        <w:rPr>
          <w:sz w:val="28"/>
          <w:szCs w:val="28"/>
        </w:rPr>
        <w:t> Н</w:t>
      </w:r>
      <w:r w:rsidRPr="000652C3">
        <w:rPr>
          <w:sz w:val="28"/>
          <w:szCs w:val="28"/>
        </w:rPr>
        <w:t>айбільшим попи</w:t>
      </w:r>
      <w:r>
        <w:rPr>
          <w:sz w:val="28"/>
          <w:szCs w:val="28"/>
        </w:rPr>
        <w:t>том серед населення громади  </w:t>
      </w:r>
      <w:r w:rsidRPr="000652C3">
        <w:rPr>
          <w:sz w:val="28"/>
          <w:szCs w:val="28"/>
        </w:rPr>
        <w:t xml:space="preserve"> користувались послуги щодо реєстрації місця проживання/зняття з реєстрації місця проживання</w:t>
      </w:r>
      <w:r>
        <w:rPr>
          <w:sz w:val="28"/>
          <w:szCs w:val="28"/>
        </w:rPr>
        <w:t xml:space="preserve"> – 43%</w:t>
      </w:r>
      <w:r w:rsidRPr="000652C3">
        <w:rPr>
          <w:sz w:val="28"/>
          <w:szCs w:val="28"/>
        </w:rPr>
        <w:t xml:space="preserve">, та паспортні послуги (виготовлення закордонних паспортів, </w:t>
      </w:r>
      <w:r w:rsidRPr="000652C3">
        <w:rPr>
          <w:sz w:val="28"/>
          <w:szCs w:val="28"/>
          <w:lang w:val="en-US"/>
        </w:rPr>
        <w:t>ID</w:t>
      </w:r>
      <w:r w:rsidRPr="000652C3">
        <w:rPr>
          <w:sz w:val="28"/>
          <w:szCs w:val="28"/>
        </w:rPr>
        <w:t xml:space="preserve">-картки, вклейка фото -25,-45 років ), що становить </w:t>
      </w:r>
      <w:r>
        <w:rPr>
          <w:sz w:val="28"/>
          <w:szCs w:val="28"/>
        </w:rPr>
        <w:t>2</w:t>
      </w:r>
      <w:r w:rsidR="00434967">
        <w:rPr>
          <w:sz w:val="28"/>
          <w:szCs w:val="28"/>
        </w:rPr>
        <w:t>7</w:t>
      </w:r>
      <w:r w:rsidRPr="000652C3">
        <w:rPr>
          <w:sz w:val="28"/>
          <w:szCs w:val="28"/>
        </w:rPr>
        <w:t>% від загальної кількості звернень.</w:t>
      </w:r>
    </w:p>
    <w:p w:rsidR="002500BF" w:rsidRDefault="002500BF" w:rsidP="002500BF">
      <w:pPr>
        <w:pStyle w:val="a7"/>
        <w:shd w:val="clear" w:color="auto" w:fill="FFFFFF"/>
        <w:spacing w:before="0" w:beforeAutospacing="0" w:after="0" w:afterAutospacing="0" w:line="276" w:lineRule="auto"/>
        <w:ind w:right="567" w:firstLine="567"/>
        <w:jc w:val="both"/>
        <w:rPr>
          <w:sz w:val="28"/>
          <w:szCs w:val="28"/>
        </w:rPr>
      </w:pPr>
      <w:r w:rsidRPr="000652C3">
        <w:rPr>
          <w:sz w:val="28"/>
          <w:szCs w:val="28"/>
        </w:rPr>
        <w:t>По іншим напрямкам: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5"/>
        <w:gridCol w:w="4329"/>
        <w:gridCol w:w="2197"/>
        <w:gridCol w:w="2194"/>
      </w:tblGrid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b/>
                <w:sz w:val="28"/>
                <w:szCs w:val="28"/>
              </w:rPr>
            </w:pPr>
            <w:r w:rsidRPr="000652C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 w:rsidRPr="000652C3">
              <w:rPr>
                <w:b/>
              </w:rPr>
              <w:t>Напрямки адміністративних послуг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 w:rsidRPr="000652C3">
              <w:rPr>
                <w:b/>
              </w:rPr>
              <w:t>Кількість наданих послуг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 w:rsidRPr="000652C3">
              <w:rPr>
                <w:b/>
              </w:rPr>
              <w:t>% від загальної кількості наданих послуг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1.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>Реєстрація місця проживання/зняття з реєстрації місця проживання, видача довідок про реєстрацію місця проживання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16237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rPr>
                <w:lang w:val="en-US"/>
              </w:rPr>
              <w:t>43</w:t>
            </w:r>
            <w:r>
              <w:t>%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2.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 xml:space="preserve">Паспортні послуги (виготовлення закордонних паспортів, </w:t>
            </w:r>
            <w:r w:rsidRPr="000652C3">
              <w:rPr>
                <w:lang w:val="en-US"/>
              </w:rPr>
              <w:t>ID</w:t>
            </w:r>
            <w:r w:rsidRPr="000652C3">
              <w:rPr>
                <w:lang w:val="ru-RU"/>
              </w:rPr>
              <w:t>-</w:t>
            </w:r>
            <w:r w:rsidRPr="000652C3">
              <w:t>картки, вклейка фото -25,-45 років)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10086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2</w:t>
            </w:r>
            <w:r>
              <w:rPr>
                <w:lang w:val="en-US"/>
              </w:rPr>
              <w:t>7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434967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500BF" w:rsidRPr="000652C3">
              <w:rPr>
                <w:sz w:val="28"/>
                <w:szCs w:val="28"/>
              </w:rPr>
              <w:t>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>Державна реєстрація нерухомого майна та їх обтяжень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2789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7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434967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500BF" w:rsidRPr="000652C3">
              <w:rPr>
                <w:sz w:val="28"/>
                <w:szCs w:val="28"/>
              </w:rPr>
              <w:t>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>Послуги Держгеокадастру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2777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7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434967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500BF" w:rsidRPr="000652C3">
              <w:rPr>
                <w:sz w:val="28"/>
                <w:szCs w:val="28"/>
              </w:rPr>
              <w:t>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>Державна реєстрація юридичних осіб,  фізичних осіб-підприємців та громадських формувань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1470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4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434967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500BF" w:rsidRPr="000652C3">
              <w:rPr>
                <w:sz w:val="28"/>
                <w:szCs w:val="28"/>
              </w:rPr>
              <w:t>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>Послуги у сфері містобудування та будівництва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1257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3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7.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>Послуги державного архітектурного-будівельного контролю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1085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>3%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8.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>Власні земельні послуги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971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3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9.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>Послуги у сфері опіки та піклування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565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434967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</w:t>
            </w:r>
            <w:r w:rsidR="002500BF" w:rsidRPr="000652C3">
              <w:t>%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П</w:t>
            </w:r>
            <w:r w:rsidRPr="000652C3">
              <w:t>ослуги місцевого значення (юридичні послуги, благоустрій, Бучазеленбуд тощо )</w:t>
            </w:r>
          </w:p>
        </w:tc>
        <w:tc>
          <w:tcPr>
            <w:tcW w:w="2197" w:type="dxa"/>
            <w:shd w:val="clear" w:color="auto" w:fill="auto"/>
          </w:tcPr>
          <w:p w:rsidR="002500BF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324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1%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0652C3">
              <w:rPr>
                <w:sz w:val="28"/>
                <w:szCs w:val="28"/>
              </w:rPr>
              <w:t>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 xml:space="preserve">Документи дозвільного характеру 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163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1%</w:t>
            </w:r>
          </w:p>
        </w:tc>
      </w:tr>
      <w:tr w:rsidR="002500BF" w:rsidRPr="000652C3" w:rsidTr="006A5C37">
        <w:tc>
          <w:tcPr>
            <w:tcW w:w="1135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0652C3">
              <w:rPr>
                <w:sz w:val="28"/>
                <w:szCs w:val="28"/>
              </w:rPr>
              <w:t>.</w:t>
            </w:r>
          </w:p>
        </w:tc>
        <w:tc>
          <w:tcPr>
            <w:tcW w:w="4329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>Кількість відмов у наданні послуг</w:t>
            </w:r>
          </w:p>
        </w:tc>
        <w:tc>
          <w:tcPr>
            <w:tcW w:w="2197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490</w:t>
            </w:r>
          </w:p>
        </w:tc>
        <w:tc>
          <w:tcPr>
            <w:tcW w:w="2194" w:type="dxa"/>
            <w:shd w:val="clear" w:color="auto" w:fill="auto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1,3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0652C3">
              <w:rPr>
                <w:sz w:val="28"/>
                <w:szCs w:val="28"/>
              </w:rPr>
              <w:t>.</w:t>
            </w:r>
          </w:p>
        </w:tc>
        <w:tc>
          <w:tcPr>
            <w:tcW w:w="4329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 w:rsidRPr="000652C3">
              <w:t>Всього наданих адміністративних послуг</w:t>
            </w:r>
          </w:p>
        </w:tc>
        <w:tc>
          <w:tcPr>
            <w:tcW w:w="4391" w:type="dxa"/>
            <w:gridSpan w:val="2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37724</w:t>
            </w:r>
          </w:p>
        </w:tc>
      </w:tr>
    </w:tbl>
    <w:p w:rsidR="002500BF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500BF" w:rsidRPr="000652C3" w:rsidRDefault="002500BF" w:rsidP="002500BF">
      <w:pPr>
        <w:pStyle w:val="a7"/>
        <w:shd w:val="clear" w:color="auto" w:fill="FFFFFF"/>
        <w:spacing w:before="0" w:beforeAutospacing="0" w:after="0" w:afterAutospacing="0" w:line="276" w:lineRule="auto"/>
        <w:ind w:right="567" w:firstLine="567"/>
        <w:jc w:val="both"/>
        <w:rPr>
          <w:sz w:val="28"/>
          <w:szCs w:val="28"/>
        </w:rPr>
      </w:pPr>
    </w:p>
    <w:p w:rsidR="002500BF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500BF" w:rsidRDefault="002500BF" w:rsidP="002500BF">
      <w:pPr>
        <w:pStyle w:val="a7"/>
        <w:shd w:val="clear" w:color="auto" w:fill="FFFFFF"/>
        <w:spacing w:before="0" w:beforeAutospacing="0" w:after="135" w:afterAutospacing="0"/>
        <w:ind w:right="567"/>
        <w:jc w:val="both"/>
        <w:rPr>
          <w:noProof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D19C9C9" wp14:editId="015EDE18">
            <wp:extent cx="6120765" cy="3276724"/>
            <wp:effectExtent l="0" t="0" r="1333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500BF" w:rsidRPr="00E912C4" w:rsidRDefault="002500BF" w:rsidP="002500BF">
      <w:pPr>
        <w:pStyle w:val="a7"/>
        <w:shd w:val="clear" w:color="auto" w:fill="FFFFFF"/>
        <w:spacing w:before="0" w:beforeAutospacing="0" w:after="135" w:afterAutospacing="0"/>
        <w:ind w:right="567"/>
        <w:jc w:val="both"/>
        <w:rPr>
          <w:noProof/>
        </w:rPr>
      </w:pPr>
    </w:p>
    <w:p w:rsidR="002500BF" w:rsidRDefault="002500BF" w:rsidP="002500BF">
      <w:pPr>
        <w:pStyle w:val="a7"/>
        <w:shd w:val="clear" w:color="auto" w:fill="FFFFFF"/>
        <w:spacing w:before="0" w:beforeAutospacing="0" w:after="135" w:afterAutospacing="0"/>
        <w:ind w:right="567"/>
        <w:jc w:val="both"/>
        <w:rPr>
          <w:noProof/>
        </w:rPr>
      </w:pPr>
      <w:r>
        <w:rPr>
          <w:noProof/>
          <w:lang w:val="ru-RU" w:eastAsia="ru-RU"/>
        </w:rPr>
        <w:drawing>
          <wp:inline distT="0" distB="0" distL="0" distR="0" wp14:anchorId="294B466D" wp14:editId="47D99B00">
            <wp:extent cx="6457950" cy="3590925"/>
            <wp:effectExtent l="0" t="0" r="1905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500BF" w:rsidRPr="00116664" w:rsidRDefault="002500BF" w:rsidP="002500BF">
      <w:pPr>
        <w:pStyle w:val="a7"/>
        <w:shd w:val="clear" w:color="auto" w:fill="FFFFFF"/>
        <w:spacing w:before="0" w:beforeAutospacing="0" w:after="135" w:afterAutospacing="0"/>
        <w:ind w:right="567"/>
        <w:jc w:val="both"/>
        <w:rPr>
          <w:b/>
        </w:rPr>
      </w:pPr>
      <w:r w:rsidRPr="00116664">
        <w:rPr>
          <w:b/>
        </w:rPr>
        <w:t>Інформація по старостинським округам: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5"/>
        <w:gridCol w:w="4328"/>
        <w:gridCol w:w="2198"/>
        <w:gridCol w:w="2194"/>
      </w:tblGrid>
      <w:tr w:rsidR="002500BF" w:rsidRPr="000652C3" w:rsidTr="006A5C37">
        <w:tc>
          <w:tcPr>
            <w:tcW w:w="1135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b/>
                <w:sz w:val="28"/>
                <w:szCs w:val="28"/>
              </w:rPr>
            </w:pPr>
            <w:r w:rsidRPr="000652C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432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>
              <w:rPr>
                <w:b/>
              </w:rPr>
              <w:t>ВРМ адміністраторів старостинських округів</w:t>
            </w:r>
          </w:p>
        </w:tc>
        <w:tc>
          <w:tcPr>
            <w:tcW w:w="219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 w:rsidRPr="000652C3">
              <w:rPr>
                <w:b/>
              </w:rPr>
              <w:t>Кількість наданих послуг</w:t>
            </w:r>
          </w:p>
        </w:tc>
        <w:tc>
          <w:tcPr>
            <w:tcW w:w="2194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center"/>
              <w:rPr>
                <w:b/>
              </w:rPr>
            </w:pPr>
            <w:r w:rsidRPr="000652C3">
              <w:rPr>
                <w:b/>
              </w:rPr>
              <w:t>% від загальної кількості наданих послуг</w:t>
            </w:r>
          </w:p>
        </w:tc>
      </w:tr>
      <w:tr w:rsidR="002500BF" w:rsidRPr="000652C3" w:rsidTr="006A5C37">
        <w:tc>
          <w:tcPr>
            <w:tcW w:w="1135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1.</w:t>
            </w:r>
          </w:p>
        </w:tc>
        <w:tc>
          <w:tcPr>
            <w:tcW w:w="432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Бабинецький старостинський округ</w:t>
            </w:r>
          </w:p>
        </w:tc>
        <w:tc>
          <w:tcPr>
            <w:tcW w:w="219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959</w:t>
            </w:r>
          </w:p>
        </w:tc>
        <w:tc>
          <w:tcPr>
            <w:tcW w:w="2194" w:type="dxa"/>
          </w:tcPr>
          <w:p w:rsidR="002500BF" w:rsidRPr="000652C3" w:rsidRDefault="00434967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11</w:t>
            </w:r>
            <w:r w:rsidR="002500BF" w:rsidRPr="000652C3">
              <w:t>%</w:t>
            </w:r>
          </w:p>
        </w:tc>
      </w:tr>
      <w:tr w:rsidR="002500BF" w:rsidRPr="000652C3" w:rsidTr="006A5C37">
        <w:tc>
          <w:tcPr>
            <w:tcW w:w="1135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2.</w:t>
            </w:r>
          </w:p>
        </w:tc>
        <w:tc>
          <w:tcPr>
            <w:tcW w:w="432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Блиставицький старостинський округ</w:t>
            </w:r>
          </w:p>
        </w:tc>
        <w:tc>
          <w:tcPr>
            <w:tcW w:w="219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468</w:t>
            </w:r>
          </w:p>
        </w:tc>
        <w:tc>
          <w:tcPr>
            <w:tcW w:w="2194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6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32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Ворзельський старостинський округ</w:t>
            </w:r>
          </w:p>
        </w:tc>
        <w:tc>
          <w:tcPr>
            <w:tcW w:w="219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2276</w:t>
            </w:r>
          </w:p>
        </w:tc>
        <w:tc>
          <w:tcPr>
            <w:tcW w:w="2194" w:type="dxa"/>
          </w:tcPr>
          <w:p w:rsidR="002500BF" w:rsidRPr="000652C3" w:rsidRDefault="00434967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28</w:t>
            </w:r>
            <w:r w:rsidR="002500BF" w:rsidRPr="000652C3">
              <w:t>%</w:t>
            </w:r>
          </w:p>
        </w:tc>
      </w:tr>
      <w:tr w:rsidR="002500BF" w:rsidRPr="000652C3" w:rsidTr="006A5C37">
        <w:tc>
          <w:tcPr>
            <w:tcW w:w="1135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4.</w:t>
            </w:r>
          </w:p>
        </w:tc>
        <w:tc>
          <w:tcPr>
            <w:tcW w:w="432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Гаврилівський старостинський округ</w:t>
            </w:r>
          </w:p>
        </w:tc>
        <w:tc>
          <w:tcPr>
            <w:tcW w:w="219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1871</w:t>
            </w:r>
          </w:p>
        </w:tc>
        <w:tc>
          <w:tcPr>
            <w:tcW w:w="2194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23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5.</w:t>
            </w:r>
          </w:p>
        </w:tc>
        <w:tc>
          <w:tcPr>
            <w:tcW w:w="432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Здвижівський старостинський округ</w:t>
            </w:r>
          </w:p>
        </w:tc>
        <w:tc>
          <w:tcPr>
            <w:tcW w:w="219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809</w:t>
            </w:r>
          </w:p>
        </w:tc>
        <w:tc>
          <w:tcPr>
            <w:tcW w:w="2194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10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6.</w:t>
            </w:r>
          </w:p>
        </w:tc>
        <w:tc>
          <w:tcPr>
            <w:tcW w:w="432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Мироцький старостинський округ</w:t>
            </w:r>
          </w:p>
        </w:tc>
        <w:tc>
          <w:tcPr>
            <w:tcW w:w="219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137</w:t>
            </w:r>
          </w:p>
        </w:tc>
        <w:tc>
          <w:tcPr>
            <w:tcW w:w="2194" w:type="dxa"/>
          </w:tcPr>
          <w:p w:rsidR="002500BF" w:rsidRPr="000652C3" w:rsidRDefault="00434967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</w:t>
            </w:r>
            <w:r w:rsidR="002500BF" w:rsidRPr="000652C3">
              <w:t>%</w:t>
            </w:r>
          </w:p>
        </w:tc>
      </w:tr>
      <w:tr w:rsidR="002500BF" w:rsidRPr="000652C3" w:rsidTr="006A5C37">
        <w:tc>
          <w:tcPr>
            <w:tcW w:w="1135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7.</w:t>
            </w:r>
          </w:p>
        </w:tc>
        <w:tc>
          <w:tcPr>
            <w:tcW w:w="432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Луб</w:t>
            </w:r>
            <w:r>
              <w:rPr>
                <w:lang w:val="en-US"/>
              </w:rPr>
              <w:t>’</w:t>
            </w:r>
            <w:r>
              <w:t>янський старостинський округ</w:t>
            </w:r>
          </w:p>
        </w:tc>
        <w:tc>
          <w:tcPr>
            <w:tcW w:w="219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559</w:t>
            </w:r>
          </w:p>
        </w:tc>
        <w:tc>
          <w:tcPr>
            <w:tcW w:w="2194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7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  <w:r w:rsidRPr="000652C3">
              <w:rPr>
                <w:sz w:val="28"/>
                <w:szCs w:val="28"/>
              </w:rPr>
              <w:t>8.</w:t>
            </w:r>
          </w:p>
        </w:tc>
        <w:tc>
          <w:tcPr>
            <w:tcW w:w="432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rPr>
                <w:lang w:val="ru-RU"/>
              </w:rPr>
              <w:t>Синяківський</w:t>
            </w:r>
            <w:r>
              <w:t xml:space="preserve"> старостинський округ</w:t>
            </w:r>
          </w:p>
        </w:tc>
        <w:tc>
          <w:tcPr>
            <w:tcW w:w="2198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1128</w:t>
            </w:r>
          </w:p>
        </w:tc>
        <w:tc>
          <w:tcPr>
            <w:tcW w:w="2194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14</w:t>
            </w:r>
            <w:r w:rsidRPr="000652C3">
              <w:t>%</w:t>
            </w:r>
          </w:p>
        </w:tc>
      </w:tr>
      <w:tr w:rsidR="002500BF" w:rsidRPr="000652C3" w:rsidTr="006A5C37">
        <w:tc>
          <w:tcPr>
            <w:tcW w:w="1135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sz w:val="28"/>
                <w:szCs w:val="28"/>
              </w:rPr>
            </w:pPr>
          </w:p>
        </w:tc>
        <w:tc>
          <w:tcPr>
            <w:tcW w:w="4328" w:type="dxa"/>
          </w:tcPr>
          <w:p w:rsidR="002500BF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  <w:rPr>
                <w:lang w:val="ru-RU"/>
              </w:rPr>
            </w:pPr>
            <w:r>
              <w:rPr>
                <w:lang w:val="ru-RU"/>
              </w:rPr>
              <w:t>ВСЬОГО</w:t>
            </w:r>
          </w:p>
        </w:tc>
        <w:tc>
          <w:tcPr>
            <w:tcW w:w="2198" w:type="dxa"/>
          </w:tcPr>
          <w:p w:rsidR="002500BF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8207</w:t>
            </w:r>
          </w:p>
        </w:tc>
        <w:tc>
          <w:tcPr>
            <w:tcW w:w="2194" w:type="dxa"/>
          </w:tcPr>
          <w:p w:rsidR="002500BF" w:rsidRPr="000652C3" w:rsidRDefault="002500BF" w:rsidP="006A5C37">
            <w:pPr>
              <w:pStyle w:val="a7"/>
              <w:spacing w:before="0" w:beforeAutospacing="0" w:after="135" w:afterAutospacing="0"/>
              <w:ind w:right="567"/>
              <w:jc w:val="both"/>
            </w:pPr>
            <w:r>
              <w:t>100%</w:t>
            </w:r>
          </w:p>
        </w:tc>
      </w:tr>
    </w:tbl>
    <w:p w:rsidR="002500BF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500BF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37953B4" wp14:editId="508CE938">
            <wp:extent cx="6120765" cy="3017114"/>
            <wp:effectExtent l="0" t="0" r="13335" b="1206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500BF" w:rsidRDefault="002500BF" w:rsidP="002500BF">
      <w:pPr>
        <w:pStyle w:val="a4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26218BA" wp14:editId="285B5D1B">
            <wp:extent cx="6120765" cy="3606912"/>
            <wp:effectExtent l="0" t="0" r="13335" b="1270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500BF" w:rsidRDefault="002500BF" w:rsidP="002500BF">
      <w:pPr>
        <w:pStyle w:val="a4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 2021 році управлінням ЦНАП запроваджено ряд заходів щодо спрощення системи надання адміністративних послуг, цифровізації послуг та підвищення цифрової грамотності населення:</w:t>
      </w:r>
    </w:p>
    <w:p w:rsidR="002500BF" w:rsidRPr="005F2F62" w:rsidRDefault="002500BF" w:rsidP="00A013CA">
      <w:pPr>
        <w:pStyle w:val="a4"/>
        <w:numPr>
          <w:ilvl w:val="0"/>
          <w:numId w:val="9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2F62">
        <w:rPr>
          <w:rFonts w:ascii="Times New Roman" w:hAnsi="Times New Roman"/>
          <w:b/>
          <w:sz w:val="28"/>
          <w:szCs w:val="28"/>
        </w:rPr>
        <w:t>Розширено перелік послуг, що надаються управлінням ЦНАП.</w:t>
      </w:r>
    </w:p>
    <w:p w:rsidR="002500BF" w:rsidRDefault="002500BF" w:rsidP="002500B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Бучанської міської ради від 29.07.2021 № 1540-15-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перелік адміністративних послуг збільшено з 201 до 251 адміністративної послуги. Збільшилося послуг у сфері реєстрації бізнесу, державного архітектурно-будівельного контролю, земельних послуг Бучанської міської ради, послуг у сфері опіки та піклування, запроваджено послугу «є-Малятко».</w:t>
      </w:r>
    </w:p>
    <w:p w:rsidR="002500BF" w:rsidRPr="005F2F62" w:rsidRDefault="002500BF" w:rsidP="002500BF">
      <w:pPr>
        <w:pStyle w:val="a4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2F62">
        <w:rPr>
          <w:rFonts w:ascii="Times New Roman" w:hAnsi="Times New Roman"/>
          <w:b/>
          <w:sz w:val="28"/>
          <w:szCs w:val="28"/>
        </w:rPr>
        <w:t>Адміністративні послуги узгоджено із послугами га Гіді з державних послуг на Порталі Дія.</w:t>
      </w:r>
    </w:p>
    <w:p w:rsidR="002500BF" w:rsidRPr="0050327C" w:rsidRDefault="002500BF" w:rsidP="002500BF">
      <w:pPr>
        <w:widowControl w:val="0"/>
        <w:tabs>
          <w:tab w:val="left" w:pos="1134"/>
        </w:tabs>
        <w:snapToGrid w:val="0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переліку послуг ко</w:t>
      </w:r>
      <w:r w:rsidRPr="0050327C">
        <w:rPr>
          <w:rFonts w:ascii="Times New Roman" w:hAnsi="Times New Roman"/>
          <w:sz w:val="28"/>
          <w:szCs w:val="28"/>
        </w:rPr>
        <w:t xml:space="preserve">жній послузі </w:t>
      </w:r>
      <w:r>
        <w:rPr>
          <w:rFonts w:ascii="Times New Roman" w:hAnsi="Times New Roman"/>
          <w:sz w:val="28"/>
          <w:szCs w:val="28"/>
        </w:rPr>
        <w:t>присвоєно</w:t>
      </w:r>
      <w:r w:rsidRPr="0050327C">
        <w:rPr>
          <w:rFonts w:ascii="Times New Roman" w:hAnsi="Times New Roman"/>
          <w:sz w:val="28"/>
          <w:szCs w:val="28"/>
        </w:rPr>
        <w:t xml:space="preserve"> код ідентифікатор, за допомогою якого </w:t>
      </w:r>
      <w:r>
        <w:rPr>
          <w:rFonts w:ascii="Times New Roman" w:hAnsi="Times New Roman"/>
          <w:sz w:val="28"/>
          <w:szCs w:val="28"/>
        </w:rPr>
        <w:t>її</w:t>
      </w:r>
      <w:r w:rsidRPr="005032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легко </w:t>
      </w:r>
      <w:r w:rsidRPr="0050327C">
        <w:rPr>
          <w:rFonts w:ascii="Times New Roman" w:hAnsi="Times New Roman"/>
          <w:sz w:val="28"/>
          <w:szCs w:val="28"/>
        </w:rPr>
        <w:t xml:space="preserve">можна знайти на Порталі Дія в розділі «Гід з державних послуг»,  замовити в електронному виді, або ж дізнатися </w:t>
      </w:r>
      <w:r>
        <w:rPr>
          <w:rFonts w:ascii="Times New Roman" w:hAnsi="Times New Roman"/>
          <w:sz w:val="28"/>
          <w:szCs w:val="28"/>
        </w:rPr>
        <w:t>повну інформацію про дану послугу, п</w:t>
      </w:r>
      <w:r w:rsidRPr="0050327C">
        <w:rPr>
          <w:rFonts w:ascii="Times New Roman" w:hAnsi="Times New Roman"/>
          <w:sz w:val="28"/>
          <w:szCs w:val="28"/>
        </w:rPr>
        <w:t xml:space="preserve">ерелік документів необхідних для </w:t>
      </w:r>
      <w:r>
        <w:rPr>
          <w:rFonts w:ascii="Times New Roman" w:hAnsi="Times New Roman"/>
          <w:sz w:val="28"/>
          <w:szCs w:val="28"/>
        </w:rPr>
        <w:t xml:space="preserve">її </w:t>
      </w:r>
      <w:r w:rsidRPr="0050327C">
        <w:rPr>
          <w:rFonts w:ascii="Times New Roman" w:hAnsi="Times New Roman"/>
          <w:sz w:val="28"/>
          <w:szCs w:val="28"/>
        </w:rPr>
        <w:t xml:space="preserve">отримання строк </w:t>
      </w:r>
      <w:r>
        <w:rPr>
          <w:rFonts w:ascii="Times New Roman" w:hAnsi="Times New Roman"/>
          <w:sz w:val="28"/>
          <w:szCs w:val="28"/>
        </w:rPr>
        <w:t xml:space="preserve">отримання </w:t>
      </w:r>
      <w:r w:rsidRPr="0050327C">
        <w:rPr>
          <w:rFonts w:ascii="Times New Roman" w:hAnsi="Times New Roman"/>
          <w:sz w:val="28"/>
          <w:szCs w:val="28"/>
        </w:rPr>
        <w:t>та вартість її надання.</w:t>
      </w:r>
    </w:p>
    <w:p w:rsidR="002500BF" w:rsidRPr="0050327C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50327C">
        <w:rPr>
          <w:rFonts w:ascii="Times New Roman" w:hAnsi="Times New Roman"/>
          <w:sz w:val="28"/>
          <w:szCs w:val="28"/>
        </w:rPr>
        <w:t>Завдяки Гіду зникає необхідність зайвий раз звертатися до посередників, юристів для консультацій, що дозволяє зменшити корупційні ризики та підвищити цифрову грамотність громадян.</w:t>
      </w:r>
    </w:p>
    <w:p w:rsidR="002500BF" w:rsidRDefault="002500BF" w:rsidP="002500BF">
      <w:pPr>
        <w:pStyle w:val="a4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16E8C">
        <w:rPr>
          <w:rFonts w:ascii="Times New Roman" w:hAnsi="Times New Roman"/>
          <w:b/>
          <w:sz w:val="28"/>
          <w:szCs w:val="28"/>
        </w:rPr>
        <w:t xml:space="preserve">В </w:t>
      </w:r>
      <w:r w:rsidR="00A013CA">
        <w:rPr>
          <w:rFonts w:ascii="Times New Roman" w:hAnsi="Times New Roman"/>
          <w:b/>
          <w:sz w:val="28"/>
          <w:szCs w:val="28"/>
          <w:lang w:val="uk-UA"/>
        </w:rPr>
        <w:t xml:space="preserve">управлінні </w:t>
      </w:r>
      <w:r w:rsidRPr="00516E8C">
        <w:rPr>
          <w:rFonts w:ascii="Times New Roman" w:hAnsi="Times New Roman"/>
          <w:b/>
          <w:sz w:val="28"/>
          <w:szCs w:val="28"/>
        </w:rPr>
        <w:t xml:space="preserve">ЦНАП запроваджено цифровий шеринг документів за допомогою </w:t>
      </w:r>
      <w:r w:rsidRPr="00516E8C">
        <w:rPr>
          <w:rFonts w:ascii="Times New Roman" w:hAnsi="Times New Roman"/>
          <w:b/>
          <w:sz w:val="28"/>
          <w:szCs w:val="28"/>
          <w:lang w:val="en-US"/>
        </w:rPr>
        <w:t>QR-</w:t>
      </w:r>
      <w:r w:rsidRPr="00516E8C">
        <w:rPr>
          <w:rFonts w:ascii="Times New Roman" w:hAnsi="Times New Roman"/>
          <w:b/>
          <w:sz w:val="28"/>
          <w:szCs w:val="28"/>
        </w:rPr>
        <w:t>коду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500BF" w:rsidRDefault="002500BF" w:rsidP="002500B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D0D0D" w:themeColor="text1" w:themeTint="F2"/>
          <w:sz w:val="28"/>
          <w:szCs w:val="28"/>
          <w:lang w:val="uk-UA"/>
        </w:rPr>
      </w:pPr>
      <w:r>
        <w:rPr>
          <w:color w:val="0D0D0D" w:themeColor="text1" w:themeTint="F2"/>
          <w:sz w:val="28"/>
          <w:szCs w:val="28"/>
          <w:lang w:val="uk-UA"/>
        </w:rPr>
        <w:t xml:space="preserve">З серпня 2021 року, на виконання вимог Закону </w:t>
      </w:r>
      <w:r w:rsidRPr="00956C6A">
        <w:rPr>
          <w:color w:val="0D0D0D" w:themeColor="text1" w:themeTint="F2"/>
          <w:sz w:val="28"/>
          <w:szCs w:val="28"/>
          <w:lang w:val="uk-UA"/>
        </w:rPr>
        <w:t>України</w:t>
      </w:r>
      <w:r w:rsidRPr="00956C6A">
        <w:rPr>
          <w:sz w:val="28"/>
          <w:szCs w:val="28"/>
          <w:lang w:val="uk-UA"/>
        </w:rPr>
        <w:t xml:space="preserve"> про внесення змін до Закону України «Про Єдиний державний демографічний реєстр та документи, що підтверджують громадянство України, посвідчують особу чи її спеціальний статус</w:t>
      </w:r>
      <w:r>
        <w:rPr>
          <w:sz w:val="28"/>
          <w:szCs w:val="28"/>
          <w:lang w:val="uk-UA"/>
        </w:rPr>
        <w:t xml:space="preserve">» </w:t>
      </w:r>
      <w:r w:rsidRPr="00EF26DF">
        <w:rPr>
          <w:color w:val="0D0D0D" w:themeColor="text1" w:themeTint="F2"/>
          <w:sz w:val="28"/>
          <w:szCs w:val="28"/>
          <w:lang w:val="uk-UA"/>
        </w:rPr>
        <w:t xml:space="preserve"> </w:t>
      </w:r>
      <w:r>
        <w:rPr>
          <w:color w:val="0D0D0D" w:themeColor="text1" w:themeTint="F2"/>
          <w:sz w:val="28"/>
          <w:szCs w:val="28"/>
          <w:lang w:val="uk-UA"/>
        </w:rPr>
        <w:t>у ЦНАПі запроваджено шеринг документів (</w:t>
      </w:r>
      <w:r w:rsidRPr="00FB2BB5">
        <w:rPr>
          <w:sz w:val="28"/>
          <w:szCs w:val="28"/>
          <w:lang w:val="uk-UA"/>
        </w:rPr>
        <w:t xml:space="preserve">шеринг - сервіс, що дозволяє отримати копії цифрових документів користувача в </w:t>
      </w:r>
      <w:r>
        <w:rPr>
          <w:sz w:val="28"/>
          <w:szCs w:val="28"/>
          <w:lang w:val="uk-UA"/>
        </w:rPr>
        <w:t>за стосунку Дія,</w:t>
      </w:r>
      <w:r w:rsidRPr="00FB2B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його згоди,</w:t>
      </w:r>
      <w:r w:rsidRPr="00FB2BB5">
        <w:rPr>
          <w:sz w:val="28"/>
          <w:szCs w:val="28"/>
          <w:lang w:val="uk-UA"/>
        </w:rPr>
        <w:t xml:space="preserve"> на електронну пошту</w:t>
      </w:r>
      <w:r>
        <w:rPr>
          <w:sz w:val="28"/>
          <w:szCs w:val="28"/>
          <w:lang w:val="uk-UA"/>
        </w:rPr>
        <w:t xml:space="preserve"> адміністратора</w:t>
      </w:r>
      <w:r>
        <w:rPr>
          <w:color w:val="0D0D0D" w:themeColor="text1" w:themeTint="F2"/>
          <w:sz w:val="28"/>
          <w:szCs w:val="28"/>
          <w:lang w:val="uk-UA"/>
        </w:rPr>
        <w:t>).</w:t>
      </w:r>
    </w:p>
    <w:p w:rsidR="002500BF" w:rsidRDefault="002500BF" w:rsidP="002500BF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color w:val="0D0D0D" w:themeColor="text1" w:themeTint="F2"/>
          <w:sz w:val="28"/>
          <w:szCs w:val="28"/>
          <w:lang w:val="uk-UA"/>
        </w:rPr>
      </w:pPr>
      <w:r>
        <w:rPr>
          <w:color w:val="0D0D0D" w:themeColor="text1" w:themeTint="F2"/>
          <w:sz w:val="28"/>
          <w:szCs w:val="28"/>
          <w:lang w:val="uk-UA"/>
        </w:rPr>
        <w:t xml:space="preserve">За допомогою </w:t>
      </w:r>
      <w:r w:rsidRPr="00CF13E3">
        <w:rPr>
          <w:sz w:val="28"/>
          <w:szCs w:val="28"/>
          <w:lang w:val="en-US"/>
        </w:rPr>
        <w:t>QR</w:t>
      </w:r>
      <w:r w:rsidRPr="00CF13E3">
        <w:rPr>
          <w:sz w:val="28"/>
          <w:szCs w:val="28"/>
          <w:lang w:val="uk-UA"/>
        </w:rPr>
        <w:t>-кодів,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розміщених на робочих місцях адміністраторів, за допомогою застосунку Дія, </w:t>
      </w:r>
      <w:r w:rsidR="00F56411">
        <w:rPr>
          <w:sz w:val="28"/>
          <w:szCs w:val="28"/>
          <w:lang w:val="uk-UA"/>
        </w:rPr>
        <w:t xml:space="preserve"> заявники </w:t>
      </w:r>
      <w:r>
        <w:rPr>
          <w:sz w:val="28"/>
          <w:szCs w:val="28"/>
          <w:lang w:val="uk-UA"/>
        </w:rPr>
        <w:t xml:space="preserve">мають можливість підтвердити свою особу під час замовляння послуги, або отримання результату послуги без </w:t>
      </w:r>
      <w:r w:rsidRPr="00CF13E3">
        <w:rPr>
          <w:color w:val="000000"/>
          <w:sz w:val="28"/>
          <w:szCs w:val="28"/>
          <w:lang w:val="uk-UA"/>
        </w:rPr>
        <w:t>пред’явлення паперових документів</w:t>
      </w:r>
      <w:r>
        <w:rPr>
          <w:sz w:val="28"/>
          <w:szCs w:val="28"/>
          <w:lang w:val="uk-UA"/>
        </w:rPr>
        <w:t xml:space="preserve"> (</w:t>
      </w:r>
      <w:r w:rsidRPr="00EF26DF">
        <w:rPr>
          <w:color w:val="0D0D0D" w:themeColor="text1" w:themeTint="F2"/>
          <w:sz w:val="28"/>
          <w:szCs w:val="28"/>
          <w:lang w:val="uk-UA"/>
        </w:rPr>
        <w:t>біометричний паспорт, ідентифікаційний код, свідоцтво про народження та довідку ВПО</w:t>
      </w:r>
      <w:r>
        <w:rPr>
          <w:color w:val="0D0D0D" w:themeColor="text1" w:themeTint="F2"/>
          <w:sz w:val="28"/>
          <w:szCs w:val="28"/>
          <w:lang w:val="uk-UA"/>
        </w:rPr>
        <w:t>), відправивши копії документів на електронну пошту адміністратора.</w:t>
      </w:r>
    </w:p>
    <w:p w:rsidR="002500BF" w:rsidRPr="002D13BD" w:rsidRDefault="002500BF" w:rsidP="002500BF">
      <w:pPr>
        <w:pStyle w:val="a4"/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2D13BD">
        <w:rPr>
          <w:rFonts w:ascii="Times New Roman" w:hAnsi="Times New Roman"/>
          <w:b/>
          <w:sz w:val="28"/>
          <w:szCs w:val="28"/>
        </w:rPr>
        <w:t xml:space="preserve">дміністраторів ЦНАП </w:t>
      </w:r>
      <w:r>
        <w:rPr>
          <w:rFonts w:ascii="Times New Roman" w:hAnsi="Times New Roman"/>
          <w:b/>
          <w:sz w:val="28"/>
          <w:szCs w:val="28"/>
        </w:rPr>
        <w:t>п</w:t>
      </w:r>
      <w:r w:rsidRPr="002D13BD">
        <w:rPr>
          <w:rFonts w:ascii="Times New Roman" w:hAnsi="Times New Roman"/>
          <w:b/>
          <w:sz w:val="28"/>
          <w:szCs w:val="28"/>
        </w:rPr>
        <w:t>ідключено до Єдиної державної системи у сфері будівництва</w:t>
      </w:r>
      <w:r w:rsidRPr="002D13BD">
        <w:rPr>
          <w:rFonts w:ascii="Times New Roman" w:hAnsi="Times New Roman"/>
          <w:sz w:val="28"/>
          <w:szCs w:val="28"/>
        </w:rPr>
        <w:t>.</w:t>
      </w:r>
    </w:p>
    <w:p w:rsidR="002500BF" w:rsidRPr="00246F84" w:rsidRDefault="002500BF" w:rsidP="002500BF">
      <w:pPr>
        <w:pStyle w:val="a4"/>
        <w:tabs>
          <w:tab w:val="left" w:pos="851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246F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 виконання Порядку ведення Єдиної державної електронної системи у сфері будівництва, затвердженого постановою Кабінету Міністрів України від 23.06.2021 № 681 «Деякі питання забезпечення функціонування Єдиної державної електронно</w:t>
      </w:r>
      <w:r w:rsidR="00F5641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ї системи у сфері будівництва»</w:t>
      </w:r>
      <w:r w:rsidR="00F5641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адміністраторів ЦНАП </w:t>
      </w:r>
      <w:r w:rsidRPr="00246F8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підключено до Єдиної державної електронної системи у сфері будівництва.</w:t>
      </w:r>
    </w:p>
    <w:p w:rsidR="002500BF" w:rsidRPr="00FB2BB5" w:rsidRDefault="002500BF" w:rsidP="002500BF">
      <w:pPr>
        <w:pStyle w:val="a4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Підключення до даної системи </w:t>
      </w:r>
      <w:r w:rsidR="00F564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дає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можливість приймати он-лайн звернення від заявників </w:t>
      </w:r>
      <w:r w:rsidRPr="00FB2BB5">
        <w:rPr>
          <w:rFonts w:ascii="Times New Roman" w:hAnsi="Times New Roman"/>
          <w:sz w:val="28"/>
          <w:szCs w:val="28"/>
          <w:shd w:val="clear" w:color="auto" w:fill="FFFFFF"/>
        </w:rPr>
        <w:t xml:space="preserve">щодо отримання адміністративних послуг у сфері будівельної діяльності (повідомлення про початок підготовчих/будівельних робіт/зміни до </w:t>
      </w:r>
      <w:r w:rsidRPr="00FB2BB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них/скасування; декларація про готовність об’єкта до експлуатації/зміни до них/скасування) через електронний кабінет адміністратора.</w:t>
      </w:r>
    </w:p>
    <w:p w:rsidR="002500BF" w:rsidRPr="00885775" w:rsidRDefault="002500BF" w:rsidP="002500BF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b/>
          <w:sz w:val="28"/>
          <w:szCs w:val="28"/>
        </w:rPr>
      </w:pPr>
      <w:r w:rsidRPr="005F539B">
        <w:rPr>
          <w:b/>
          <w:sz w:val="28"/>
          <w:szCs w:val="28"/>
          <w:lang w:val="uk-UA"/>
        </w:rPr>
        <w:t>ЦНАП підключено до системи щоденного моніторингу та  оцінювання якості роботи адміністраторів</w:t>
      </w:r>
      <w:r>
        <w:rPr>
          <w:b/>
          <w:sz w:val="28"/>
          <w:szCs w:val="28"/>
          <w:lang w:val="uk-UA"/>
        </w:rPr>
        <w:t xml:space="preserve"> </w:t>
      </w:r>
      <w:r w:rsidRPr="00885775">
        <w:rPr>
          <w:b/>
          <w:sz w:val="28"/>
          <w:szCs w:val="28"/>
        </w:rPr>
        <w:t xml:space="preserve">за допомогою </w:t>
      </w:r>
      <w:r w:rsidRPr="00885775">
        <w:rPr>
          <w:b/>
          <w:sz w:val="28"/>
          <w:szCs w:val="28"/>
          <w:lang w:val="en-US"/>
        </w:rPr>
        <w:t>QR</w:t>
      </w:r>
      <w:r w:rsidRPr="00885775">
        <w:rPr>
          <w:b/>
          <w:sz w:val="28"/>
          <w:szCs w:val="28"/>
        </w:rPr>
        <w:t>- коду</w:t>
      </w:r>
      <w:r>
        <w:rPr>
          <w:b/>
          <w:sz w:val="28"/>
          <w:szCs w:val="28"/>
          <w:lang w:val="uk-UA"/>
        </w:rPr>
        <w:t>.</w:t>
      </w:r>
    </w:p>
    <w:p w:rsidR="002500BF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2021 році, на виконання рекомендацій Міністерства цифрової трансформації,</w:t>
      </w:r>
      <w:r w:rsidRPr="005F1E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885775">
        <w:rPr>
          <w:rFonts w:ascii="Times New Roman" w:hAnsi="Times New Roman"/>
          <w:sz w:val="28"/>
          <w:szCs w:val="28"/>
        </w:rPr>
        <w:t xml:space="preserve"> ЦНАПі запроваджена система щоденного моніторингу оцінювання якості роботи адміністратора ЦНАП за допомогою </w:t>
      </w:r>
      <w:r w:rsidRPr="00885775">
        <w:rPr>
          <w:rFonts w:ascii="Times New Roman" w:hAnsi="Times New Roman"/>
          <w:sz w:val="28"/>
          <w:szCs w:val="28"/>
          <w:lang w:val="en-US"/>
        </w:rPr>
        <w:t>QR</w:t>
      </w:r>
      <w:r w:rsidRPr="005F1E95">
        <w:rPr>
          <w:rFonts w:ascii="Times New Roman" w:hAnsi="Times New Roman"/>
          <w:sz w:val="28"/>
          <w:szCs w:val="28"/>
          <w:lang w:val="uk-UA"/>
        </w:rPr>
        <w:t>- код</w:t>
      </w:r>
      <w:r w:rsidRPr="00885775">
        <w:rPr>
          <w:rFonts w:ascii="Times New Roman" w:hAnsi="Times New Roman"/>
          <w:sz w:val="28"/>
          <w:szCs w:val="28"/>
        </w:rPr>
        <w:t>у.</w:t>
      </w:r>
    </w:p>
    <w:p w:rsidR="002500BF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775">
        <w:rPr>
          <w:rFonts w:ascii="Times New Roman" w:hAnsi="Times New Roman"/>
          <w:sz w:val="28"/>
          <w:szCs w:val="28"/>
          <w:lang w:val="en-US"/>
        </w:rPr>
        <w:t>QR</w:t>
      </w:r>
      <w:r>
        <w:rPr>
          <w:rFonts w:ascii="Times New Roman" w:hAnsi="Times New Roman"/>
          <w:sz w:val="28"/>
          <w:szCs w:val="28"/>
        </w:rPr>
        <w:t>-коди розміщені на вході до ЦНАПу, на рецепції, на робочих місцях адміністраторів. За допомогою даної системи оцінювання відвідувачі мали можливість в</w:t>
      </w:r>
      <w:r w:rsidRPr="00885775">
        <w:rPr>
          <w:rFonts w:ascii="Times New Roman" w:hAnsi="Times New Roman"/>
          <w:sz w:val="28"/>
          <w:szCs w:val="28"/>
        </w:rPr>
        <w:t>исловити свою думку щодо якості наданих адміністративних послуг</w:t>
      </w:r>
      <w:r>
        <w:rPr>
          <w:rFonts w:ascii="Times New Roman" w:hAnsi="Times New Roman"/>
          <w:sz w:val="28"/>
          <w:szCs w:val="28"/>
        </w:rPr>
        <w:t>, оцінити роботу адміністратора, висловити свої побажання та пропозиції щодо покращення роботи ЦНАП.</w:t>
      </w:r>
    </w:p>
    <w:p w:rsidR="002500BF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Протягом 2021 року надійшло 75  відгуків про роботу адміністраторів ЦНАП, 72 з яких отримали максимальну оцінку, а 3 надали пропозиції щодо покращення якості роботи ЦНАП. </w:t>
      </w:r>
    </w:p>
    <w:p w:rsidR="002500BF" w:rsidRPr="00885775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Також, мешканці громади мали</w:t>
      </w:r>
      <w:r w:rsidRPr="00885775">
        <w:rPr>
          <w:rFonts w:ascii="Times New Roman" w:hAnsi="Times New Roman"/>
          <w:sz w:val="28"/>
          <w:szCs w:val="28"/>
        </w:rPr>
        <w:t xml:space="preserve"> можливість</w:t>
      </w:r>
      <w:r>
        <w:rPr>
          <w:rFonts w:ascii="Times New Roman" w:hAnsi="Times New Roman"/>
          <w:sz w:val="28"/>
          <w:szCs w:val="28"/>
        </w:rPr>
        <w:t xml:space="preserve"> висловити свою думку щодо роботи ЦНАП</w:t>
      </w:r>
      <w:r w:rsidRPr="00885775">
        <w:rPr>
          <w:rFonts w:ascii="Times New Roman" w:hAnsi="Times New Roman"/>
          <w:sz w:val="28"/>
          <w:szCs w:val="28"/>
        </w:rPr>
        <w:t xml:space="preserve"> за допомогою скриньки для висловлення зауважень та пропозицій, що знаходиться у секторі інформування. </w:t>
      </w:r>
    </w:p>
    <w:p w:rsidR="002500BF" w:rsidRPr="00885775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8857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 2021 році</w:t>
      </w:r>
      <w:r w:rsidRPr="00885775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 xml:space="preserve">скриньки зауважень та пропозицій </w:t>
      </w:r>
      <w:r w:rsidRPr="00885775">
        <w:rPr>
          <w:rFonts w:ascii="Times New Roman" w:hAnsi="Times New Roman"/>
          <w:sz w:val="28"/>
          <w:szCs w:val="28"/>
        </w:rPr>
        <w:t>надійшло 60 подяк за гарну роботу адміністраторів та 1 зауваження щодо покращення процесу обслуговування відвідувачів.</w:t>
      </w:r>
    </w:p>
    <w:p w:rsidR="002500BF" w:rsidRDefault="002500BF" w:rsidP="002500BF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Відновлено роботу електронної системи керування чергою.</w:t>
      </w:r>
    </w:p>
    <w:p w:rsidR="002500BF" w:rsidRDefault="002500BF" w:rsidP="002500BF">
      <w:pPr>
        <w:pStyle w:val="a4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Задля зручності у процесі керування потоком громадян  в управлінні ЦНАП з липня 2021 року відновлено роботу  електронної системи керування чергою. Також,  у ЦНАПі запроваджено попередній запис на прийом до адміністратора, який можна здійснити по телефону, написавши на електронну пошту, або ж звернувшись на рецепцію ЦНАП.</w:t>
      </w:r>
    </w:p>
    <w:p w:rsidR="002500BF" w:rsidRPr="00885775" w:rsidRDefault="002500BF" w:rsidP="002500BF">
      <w:pPr>
        <w:pStyle w:val="a4"/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Запроваджено сплату адміністративного збо</w:t>
      </w:r>
      <w:r w:rsidRPr="00885775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у </w:t>
      </w:r>
      <w:r w:rsidRPr="00885775">
        <w:rPr>
          <w:rFonts w:ascii="Times New Roman" w:hAnsi="Times New Roman"/>
          <w:b/>
          <w:sz w:val="28"/>
          <w:szCs w:val="28"/>
        </w:rPr>
        <w:t xml:space="preserve">за допомогою </w:t>
      </w:r>
      <w:r w:rsidRPr="00885775">
        <w:rPr>
          <w:rFonts w:ascii="Times New Roman" w:hAnsi="Times New Roman"/>
          <w:b/>
          <w:sz w:val="28"/>
          <w:szCs w:val="28"/>
          <w:lang w:val="en-US"/>
        </w:rPr>
        <w:t>POS</w:t>
      </w:r>
      <w:r w:rsidRPr="00885775">
        <w:rPr>
          <w:rFonts w:ascii="Times New Roman" w:hAnsi="Times New Roman"/>
          <w:b/>
          <w:sz w:val="28"/>
          <w:szCs w:val="28"/>
        </w:rPr>
        <w:t>-терміналів.</w:t>
      </w:r>
    </w:p>
    <w:p w:rsidR="002500BF" w:rsidRPr="00885775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885775">
        <w:rPr>
          <w:rFonts w:ascii="Times New Roman" w:hAnsi="Times New Roman"/>
          <w:sz w:val="28"/>
          <w:szCs w:val="28"/>
        </w:rPr>
        <w:t xml:space="preserve">З метою забезпечення ще більш комфортних умов, в управлінні ЦНАП </w:t>
      </w:r>
      <w:r>
        <w:rPr>
          <w:rFonts w:ascii="Times New Roman" w:hAnsi="Times New Roman"/>
          <w:sz w:val="28"/>
          <w:szCs w:val="28"/>
        </w:rPr>
        <w:t>на робочих місцях адміністраторів встановлено</w:t>
      </w:r>
      <w:r w:rsidRPr="00885775">
        <w:rPr>
          <w:rFonts w:ascii="Times New Roman" w:hAnsi="Times New Roman"/>
          <w:sz w:val="28"/>
          <w:szCs w:val="28"/>
        </w:rPr>
        <w:t xml:space="preserve">  банківські </w:t>
      </w:r>
      <w:r w:rsidRPr="00885775">
        <w:rPr>
          <w:rFonts w:ascii="Times New Roman" w:hAnsi="Times New Roman"/>
          <w:sz w:val="28"/>
          <w:szCs w:val="28"/>
          <w:lang w:val="en-US"/>
        </w:rPr>
        <w:t>POS</w:t>
      </w:r>
      <w:r w:rsidRPr="00885775">
        <w:rPr>
          <w:rFonts w:ascii="Times New Roman" w:hAnsi="Times New Roman"/>
          <w:sz w:val="28"/>
          <w:szCs w:val="28"/>
        </w:rPr>
        <w:t xml:space="preserve">-термінали, що дають можливість сплатити за адміністративні послуги та адміністративний збір у приміщенні </w:t>
      </w:r>
      <w:r>
        <w:rPr>
          <w:rFonts w:ascii="Times New Roman" w:hAnsi="Times New Roman"/>
          <w:sz w:val="28"/>
          <w:szCs w:val="28"/>
        </w:rPr>
        <w:t>Ц</w:t>
      </w:r>
      <w:r w:rsidRPr="00885775">
        <w:rPr>
          <w:rFonts w:ascii="Times New Roman" w:hAnsi="Times New Roman"/>
          <w:sz w:val="28"/>
          <w:szCs w:val="28"/>
        </w:rPr>
        <w:t>ентру та мінімізувати час отримання адміністративних послуг.</w:t>
      </w:r>
    </w:p>
    <w:p w:rsidR="002500BF" w:rsidRDefault="002500BF" w:rsidP="002500BF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Протягом 2021 року збільшено кількість адміністраторів, які підключилися до Державних інформаційних реєстрів.</w:t>
      </w:r>
    </w:p>
    <w:p w:rsidR="002500BF" w:rsidRDefault="002500BF" w:rsidP="002500BF">
      <w:pPr>
        <w:spacing w:after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2500BF">
        <w:rPr>
          <w:rFonts w:ascii="Times New Roman" w:hAnsi="Times New Roman"/>
          <w:sz w:val="28"/>
          <w:szCs w:val="28"/>
          <w:lang w:val="uk-UA"/>
        </w:rPr>
        <w:t>У 2021 році 6 адміністраторів управління ЦНАП отримали доступ до державних інформаційних реєстрів, а саме: до Єдиного державного реєстру юридичних осіб, фізичних осіб-підприємців та громадських формувань, Єдиного Державного реєстру речових прав на нерухоме майно та Державного реєстру актів цивільного стану громадян, Реєстру територіальної громади Державної демографічної служби, Єдиної державної системи у сфері будівництва.</w:t>
      </w:r>
    </w:p>
    <w:p w:rsidR="00F56411" w:rsidRPr="002500BF" w:rsidRDefault="00F56411" w:rsidP="002500BF">
      <w:pPr>
        <w:spacing w:after="0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00BF" w:rsidRDefault="002500BF" w:rsidP="002500BF">
      <w:pPr>
        <w:pStyle w:val="a4"/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2A0B28">
        <w:rPr>
          <w:rFonts w:ascii="Times New Roman" w:hAnsi="Times New Roman"/>
          <w:b/>
          <w:sz w:val="28"/>
          <w:szCs w:val="28"/>
        </w:rPr>
        <w:lastRenderedPageBreak/>
        <w:t>В ЦНАПі організовано куточок самообслуговування для відвідувачів.</w:t>
      </w:r>
    </w:p>
    <w:p w:rsidR="002500BF" w:rsidRDefault="002500BF" w:rsidP="002500BF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A0B28">
        <w:rPr>
          <w:rFonts w:ascii="Times New Roman" w:hAnsi="Times New Roman"/>
          <w:sz w:val="28"/>
          <w:szCs w:val="28"/>
        </w:rPr>
        <w:t>З метою підвищення цифрової грамотності населення щодо отримання послуг в електронному виді</w:t>
      </w:r>
      <w:r w:rsidR="00F5641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в ЦНАПі</w:t>
      </w:r>
      <w:r w:rsidRPr="002A0B28">
        <w:rPr>
          <w:rFonts w:ascii="Times New Roman" w:hAnsi="Times New Roman"/>
          <w:sz w:val="28"/>
          <w:szCs w:val="28"/>
        </w:rPr>
        <w:t xml:space="preserve"> організовано куточок самообслуговування</w:t>
      </w:r>
      <w:r w:rsidR="00F56411">
        <w:rPr>
          <w:rFonts w:ascii="Times New Roman" w:eastAsia="Times New Roman" w:hAnsi="Times New Roman"/>
          <w:sz w:val="28"/>
          <w:szCs w:val="28"/>
          <w:lang w:eastAsia="uk-UA"/>
        </w:rPr>
        <w:t xml:space="preserve"> для відвідувачів</w:t>
      </w:r>
      <w:r w:rsidRPr="002A0B28">
        <w:rPr>
          <w:rFonts w:ascii="Times New Roman" w:eastAsia="Times New Roman" w:hAnsi="Times New Roman"/>
          <w:sz w:val="28"/>
          <w:szCs w:val="28"/>
          <w:lang w:eastAsia="uk-UA"/>
        </w:rPr>
        <w:t xml:space="preserve"> з вільним доступом до Порталу Дія, на якому можна скористатися Гідом з державних послуг,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отримати</w:t>
      </w:r>
      <w:r w:rsidRPr="002A0B28">
        <w:rPr>
          <w:rFonts w:ascii="Times New Roman" w:eastAsia="Times New Roman" w:hAnsi="Times New Roman"/>
          <w:sz w:val="28"/>
          <w:szCs w:val="28"/>
          <w:lang w:eastAsia="uk-UA"/>
        </w:rPr>
        <w:t xml:space="preserve"> необхідну інформацію про послугу, сплатити адміністративний збір,</w:t>
      </w:r>
      <w:r w:rsidR="00F5641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2A0B28">
        <w:rPr>
          <w:rFonts w:ascii="Times New Roman" w:eastAsia="Times New Roman" w:hAnsi="Times New Roman"/>
          <w:sz w:val="28"/>
          <w:szCs w:val="28"/>
          <w:lang w:eastAsia="uk-UA"/>
        </w:rPr>
        <w:t xml:space="preserve">а також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самостійно, або за допомогою адміністратора ЦНАП  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замовити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ряд 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>послуг он-лайн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на визначених державних веб-ресурсах, або на Порталі Дія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2500BF" w:rsidRPr="00333A33" w:rsidRDefault="002500BF" w:rsidP="002500B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>До них відносятьс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я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2500BF" w:rsidRDefault="002500BF" w:rsidP="002500BF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Послуги Держгеокадастру (витяг з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нормативно-грошової оцінки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земельну ділянку, витяг з ДЗК, державна реєстрація земельної ділянки тощо)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2500BF" w:rsidRPr="00333A33" w:rsidRDefault="002500BF" w:rsidP="002500BF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Послуги щодо реєстрації місця проживання/зняття з реєстрації місця проживання.</w:t>
      </w:r>
    </w:p>
    <w:p w:rsidR="002500BF" w:rsidRPr="00333A33" w:rsidRDefault="002500BF" w:rsidP="002500BF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Послуги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Головного у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правління Державної служби з надзвичайних ситуацій у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Київській 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>області (реєстрація декларації відповідності матеріально-технічної бази вимогам законодавства).</w:t>
      </w:r>
    </w:p>
    <w:p w:rsidR="002500BF" w:rsidRPr="00333A33" w:rsidRDefault="002500BF" w:rsidP="002500BF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Послуги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відділу державного архітектурно-будівельного контролю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 (реєстрація декларацій про готовність об’єкта до експлуатації та повідомлень про початок будівельних робіт, заяв на видачу дозволу та сертифікату відповідності).</w:t>
      </w:r>
    </w:p>
    <w:p w:rsidR="002500BF" w:rsidRPr="00333A33" w:rsidRDefault="002500BF" w:rsidP="002500BF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Послуги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щодо реєстрація ФОП,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 юридичних осіб та нерухомого майна, отримання відповідних 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нформаційних довідок з реєстрів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2500BF" w:rsidRPr="00333A33" w:rsidRDefault="002500BF" w:rsidP="002500BF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Послуги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Департаменту екології та природних ресурсів у Київській області 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 (дозвіл на спеціальне водокористування).</w:t>
      </w:r>
    </w:p>
    <w:p w:rsidR="002500BF" w:rsidRPr="00333A33" w:rsidRDefault="002500BF" w:rsidP="002500B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>При отрим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анні зазначених послуг суб’єкти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 звернення здійснюють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он-лайн</w:t>
      </w: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 оплату за надання адміністративної послуги в електронній формі (у разі надання платної адміністративної послуги).</w:t>
      </w:r>
    </w:p>
    <w:p w:rsidR="002500BF" w:rsidRDefault="002500BF" w:rsidP="002500B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33A33">
        <w:rPr>
          <w:rFonts w:ascii="Times New Roman" w:eastAsia="Times New Roman" w:hAnsi="Times New Roman"/>
          <w:sz w:val="28"/>
          <w:szCs w:val="28"/>
          <w:lang w:eastAsia="uk-UA"/>
        </w:rPr>
        <w:t xml:space="preserve">Результат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он-лайн послуги відвідувачі мали можливість отримати в паперовому вигляді у адміністратора ЦНАП, або на електронну пошту.</w:t>
      </w:r>
    </w:p>
    <w:p w:rsidR="002500BF" w:rsidRDefault="002500BF" w:rsidP="002500BF">
      <w:pPr>
        <w:pStyle w:val="a4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76" w:lineRule="auto"/>
        <w:ind w:left="0" w:firstLine="426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2A0B28">
        <w:rPr>
          <w:rFonts w:ascii="Times New Roman" w:eastAsia="Times New Roman" w:hAnsi="Times New Roman"/>
          <w:b/>
          <w:sz w:val="28"/>
          <w:szCs w:val="28"/>
          <w:lang w:eastAsia="uk-UA"/>
        </w:rPr>
        <w:t>У ЦНАПі встановлено інформаційний кіоск.</w:t>
      </w:r>
    </w:p>
    <w:p w:rsidR="002500BF" w:rsidRPr="00CA5DA8" w:rsidRDefault="002500BF" w:rsidP="002500BF">
      <w:pPr>
        <w:widowControl w:val="0"/>
        <w:tabs>
          <w:tab w:val="left" w:pos="1134"/>
        </w:tabs>
        <w:snapToGrid w:val="0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CA5DA8">
        <w:rPr>
          <w:rFonts w:ascii="Times New Roman" w:hAnsi="Times New Roman"/>
          <w:sz w:val="28"/>
          <w:szCs w:val="28"/>
        </w:rPr>
        <w:t xml:space="preserve">З метою </w:t>
      </w:r>
      <w:r>
        <w:rPr>
          <w:rFonts w:ascii="Times New Roman" w:hAnsi="Times New Roman"/>
          <w:sz w:val="28"/>
          <w:szCs w:val="28"/>
        </w:rPr>
        <w:t xml:space="preserve">наближення он-лайн послуг до населення </w:t>
      </w:r>
      <w:r w:rsidRPr="00CA5DA8">
        <w:rPr>
          <w:rFonts w:ascii="Times New Roman" w:hAnsi="Times New Roman"/>
          <w:sz w:val="28"/>
          <w:szCs w:val="28"/>
        </w:rPr>
        <w:t>у секторі інформування розміщено інформаційний кіоскс, який працює в тестовому режимі, за допомогою якого громадяни та представники бізнесу можуть отримати ряд послуг та консультацій в онлайн-режимі.  Послуги можна отримати через Портал Дія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A5DA8">
        <w:rPr>
          <w:rFonts w:ascii="Times New Roman" w:hAnsi="Times New Roman"/>
          <w:sz w:val="28"/>
          <w:szCs w:val="28"/>
        </w:rPr>
        <w:t>а також інтегровані з ним інформаційні системи державних органів та органів місцевого самоврядування.</w:t>
      </w:r>
    </w:p>
    <w:p w:rsidR="002500BF" w:rsidRDefault="002500BF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Також, за допомогою інформаційного</w:t>
      </w:r>
      <w:r w:rsidRPr="00CA5DA8">
        <w:rPr>
          <w:rFonts w:ascii="Times New Roman" w:hAnsi="Times New Roman"/>
          <w:sz w:val="28"/>
          <w:szCs w:val="28"/>
        </w:rPr>
        <w:t xml:space="preserve"> кіоск</w:t>
      </w:r>
      <w:r>
        <w:rPr>
          <w:rFonts w:ascii="Times New Roman" w:hAnsi="Times New Roman"/>
          <w:sz w:val="28"/>
          <w:szCs w:val="28"/>
        </w:rPr>
        <w:t>у</w:t>
      </w:r>
      <w:r w:rsidRPr="00CA5DA8">
        <w:rPr>
          <w:rFonts w:ascii="Times New Roman" w:hAnsi="Times New Roman"/>
          <w:sz w:val="28"/>
          <w:szCs w:val="28"/>
        </w:rPr>
        <w:t>, громадяни та суб’єкти господарювання можуть он-лайн ознайомитися із роботою управління ЦНАП, переліком послуг, графіком роботи управління, новинами у сфері адміністративних послуг, порядком отримання послуг, інформаційними картками тощо.</w:t>
      </w:r>
    </w:p>
    <w:p w:rsidR="00F56411" w:rsidRPr="00F56411" w:rsidRDefault="00F56411" w:rsidP="002500BF">
      <w:pPr>
        <w:spacing w:after="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00BF" w:rsidRPr="00FD6F09" w:rsidRDefault="002500BF" w:rsidP="002500BF">
      <w:pPr>
        <w:pStyle w:val="rvps2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426"/>
        <w:jc w:val="both"/>
        <w:rPr>
          <w:b/>
          <w:sz w:val="28"/>
          <w:szCs w:val="28"/>
        </w:rPr>
      </w:pPr>
      <w:r w:rsidRPr="00FD6F09">
        <w:rPr>
          <w:b/>
          <w:sz w:val="28"/>
          <w:szCs w:val="28"/>
          <w:lang w:val="uk-UA"/>
        </w:rPr>
        <w:lastRenderedPageBreak/>
        <w:t>Забезпечено он</w:t>
      </w:r>
      <w:r>
        <w:rPr>
          <w:b/>
          <w:sz w:val="28"/>
          <w:szCs w:val="28"/>
          <w:lang w:val="uk-UA"/>
        </w:rPr>
        <w:t>-</w:t>
      </w:r>
      <w:r w:rsidRPr="00FD6F09">
        <w:rPr>
          <w:b/>
          <w:sz w:val="28"/>
          <w:szCs w:val="28"/>
          <w:lang w:val="uk-UA"/>
        </w:rPr>
        <w:t>лайн реєстрацію</w:t>
      </w:r>
      <w:r>
        <w:rPr>
          <w:b/>
          <w:sz w:val="28"/>
          <w:szCs w:val="28"/>
          <w:lang w:val="uk-UA"/>
        </w:rPr>
        <w:t>/зняття з реєстрації</w:t>
      </w:r>
      <w:r w:rsidRPr="00FD6F0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місця </w:t>
      </w:r>
      <w:r w:rsidRPr="00FD6F09">
        <w:rPr>
          <w:b/>
          <w:sz w:val="28"/>
          <w:szCs w:val="28"/>
          <w:lang w:val="uk-UA"/>
        </w:rPr>
        <w:t>проживання</w:t>
      </w:r>
      <w:r>
        <w:rPr>
          <w:b/>
          <w:sz w:val="28"/>
          <w:szCs w:val="28"/>
          <w:lang w:val="uk-UA"/>
        </w:rPr>
        <w:t xml:space="preserve"> громадян на Порталі Дія.</w:t>
      </w:r>
    </w:p>
    <w:p w:rsidR="002500BF" w:rsidRDefault="002500BF" w:rsidP="002500BF">
      <w:pPr>
        <w:spacing w:after="0"/>
        <w:ind w:firstLine="426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FD6F09">
        <w:rPr>
          <w:rFonts w:ascii="Times New Roman" w:hAnsi="Times New Roman"/>
          <w:sz w:val="28"/>
          <w:szCs w:val="28"/>
        </w:rPr>
        <w:t>З 1-го грудня 2021 року</w:t>
      </w:r>
      <w:r w:rsidRPr="00FD6F09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,</w:t>
      </w:r>
      <w:r w:rsidRPr="00FD6F09">
        <w:rPr>
          <w:rFonts w:ascii="Times New Roman" w:hAnsi="Times New Roman"/>
          <w:color w:val="0D0D0D" w:themeColor="text1" w:themeTint="F2"/>
          <w:sz w:val="28"/>
          <w:szCs w:val="28"/>
        </w:rPr>
        <w:t>відповідно до вимог З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акону </w:t>
      </w:r>
      <w:r w:rsidRPr="00FD6F09">
        <w:rPr>
          <w:rFonts w:ascii="Times New Roman" w:hAnsi="Times New Roman"/>
          <w:color w:val="0D0D0D" w:themeColor="text1" w:themeTint="F2"/>
          <w:sz w:val="28"/>
          <w:szCs w:val="28"/>
        </w:rPr>
        <w:t>У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країни  «</w:t>
      </w:r>
      <w:r w:rsidRPr="00FD6F09">
        <w:rPr>
          <w:rFonts w:ascii="Times New Roman" w:hAnsi="Times New Roman"/>
          <w:color w:val="2A2928"/>
          <w:sz w:val="28"/>
          <w:szCs w:val="28"/>
        </w:rPr>
        <w:t>Про надання публічних (електронних публічних) послуг щодо декларування та реєстрації місця проживання в Україні</w:t>
      </w:r>
      <w:r w:rsidRPr="00FD6F09">
        <w:rPr>
          <w:rFonts w:ascii="Times New Roman" w:hAnsi="Times New Roman"/>
          <w:b/>
          <w:bCs/>
          <w:color w:val="2A2928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2A2928"/>
          <w:sz w:val="28"/>
          <w:szCs w:val="28"/>
        </w:rPr>
        <w:t xml:space="preserve">, </w:t>
      </w:r>
      <w:r>
        <w:rPr>
          <w:rFonts w:ascii="Times New Roman" w:hAnsi="Times New Roman"/>
          <w:bCs/>
          <w:color w:val="2A2928"/>
          <w:sz w:val="28"/>
          <w:szCs w:val="28"/>
        </w:rPr>
        <w:t>спеціалістами управління ЦНАП</w:t>
      </w:r>
      <w:r>
        <w:rPr>
          <w:rFonts w:ascii="Times New Roman" w:hAnsi="Times New Roman"/>
          <w:b/>
          <w:bCs/>
          <w:color w:val="2A2928"/>
          <w:sz w:val="28"/>
          <w:szCs w:val="28"/>
        </w:rPr>
        <w:t xml:space="preserve"> </w:t>
      </w:r>
      <w:r w:rsidRPr="00CE38C5">
        <w:rPr>
          <w:rFonts w:ascii="Times New Roman" w:hAnsi="Times New Roman"/>
          <w:bCs/>
          <w:color w:val="2A2928"/>
          <w:sz w:val="28"/>
          <w:szCs w:val="28"/>
        </w:rPr>
        <w:t>забезпечується</w:t>
      </w:r>
      <w:r>
        <w:rPr>
          <w:rFonts w:ascii="Times New Roman" w:hAnsi="Times New Roman"/>
          <w:bCs/>
          <w:color w:val="2A2928"/>
          <w:sz w:val="28"/>
          <w:szCs w:val="28"/>
        </w:rPr>
        <w:t xml:space="preserve"> опрацювання документів щодо реєстрації</w:t>
      </w:r>
      <w:r>
        <w:rPr>
          <w:rFonts w:ascii="Times New Roman" w:hAnsi="Times New Roman"/>
          <w:b/>
          <w:bCs/>
          <w:color w:val="2A2928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2A2928"/>
          <w:sz w:val="28"/>
          <w:szCs w:val="28"/>
        </w:rPr>
        <w:t>громадян</w:t>
      </w:r>
      <w:r w:rsidRPr="00CE38C5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2A2928"/>
          <w:sz w:val="28"/>
          <w:szCs w:val="28"/>
        </w:rPr>
        <w:t xml:space="preserve"> через Портал Дія.</w:t>
      </w:r>
    </w:p>
    <w:p w:rsidR="002500BF" w:rsidRDefault="002500BF" w:rsidP="002500BF">
      <w:pPr>
        <w:spacing w:after="0"/>
        <w:ind w:firstLine="426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Cs/>
          <w:color w:val="2A2928"/>
          <w:sz w:val="28"/>
          <w:szCs w:val="28"/>
        </w:rPr>
        <w:t>Станом на 31.12.2021 року спеціалістами відділу реєстрації управління ЦНАП зареєстровано та опрацьовано 50 заявок щодо он-лайн реєстрації</w:t>
      </w:r>
      <w:r w:rsidR="00F56411">
        <w:rPr>
          <w:rFonts w:ascii="Times New Roman" w:hAnsi="Times New Roman"/>
          <w:bCs/>
          <w:color w:val="2A2928"/>
          <w:sz w:val="28"/>
          <w:szCs w:val="28"/>
          <w:lang w:val="uk-UA"/>
        </w:rPr>
        <w:t xml:space="preserve"> місця проживання</w:t>
      </w:r>
      <w:r>
        <w:rPr>
          <w:rFonts w:ascii="Times New Roman" w:hAnsi="Times New Roman"/>
          <w:bCs/>
          <w:color w:val="2A2928"/>
          <w:sz w:val="28"/>
          <w:szCs w:val="28"/>
        </w:rPr>
        <w:t xml:space="preserve"> громадян. </w:t>
      </w:r>
    </w:p>
    <w:p w:rsidR="002500BF" w:rsidRPr="00FD6F09" w:rsidRDefault="002500BF" w:rsidP="002500BF">
      <w:pPr>
        <w:pStyle w:val="a4"/>
        <w:numPr>
          <w:ilvl w:val="0"/>
          <w:numId w:val="9"/>
        </w:numPr>
        <w:tabs>
          <w:tab w:val="left" w:pos="993"/>
        </w:tabs>
        <w:spacing w:after="0" w:line="276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FD6F09">
        <w:rPr>
          <w:rFonts w:ascii="Times New Roman" w:hAnsi="Times New Roman"/>
          <w:b/>
          <w:sz w:val="28"/>
          <w:szCs w:val="28"/>
        </w:rPr>
        <w:t xml:space="preserve">Заходи </w:t>
      </w:r>
      <w:r>
        <w:rPr>
          <w:rFonts w:ascii="Times New Roman" w:hAnsi="Times New Roman"/>
          <w:b/>
          <w:sz w:val="28"/>
          <w:szCs w:val="28"/>
        </w:rPr>
        <w:t>щодо цифровізації адміністративних послуг.</w:t>
      </w:r>
    </w:p>
    <w:p w:rsidR="002500BF" w:rsidRPr="00333A33" w:rsidRDefault="002500BF" w:rsidP="00F56411">
      <w:pPr>
        <w:pStyle w:val="a4"/>
        <w:widowControl w:val="0"/>
        <w:tabs>
          <w:tab w:val="left" w:pos="993"/>
        </w:tabs>
        <w:snapToGri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із ключових завдань діяльності управління ЦНАП  у  2021 році було переведення власних адміністративних послуг послуг Бучанської міської ради у електронний формат .</w:t>
      </w:r>
    </w:p>
    <w:p w:rsidR="002500BF" w:rsidRPr="008F36DD" w:rsidRDefault="00DF0901" w:rsidP="00F56411">
      <w:pPr>
        <w:pStyle w:val="a4"/>
        <w:widowControl w:val="0"/>
        <w:tabs>
          <w:tab w:val="center" w:pos="4820"/>
          <w:tab w:val="right" w:pos="9641"/>
        </w:tabs>
        <w:snapToGri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500BF" w:rsidRPr="008F36DD">
        <w:rPr>
          <w:rFonts w:ascii="Times New Roman" w:hAnsi="Times New Roman"/>
          <w:sz w:val="28"/>
          <w:szCs w:val="28"/>
          <w:shd w:val="clear" w:color="auto" w:fill="FFFFFF"/>
        </w:rPr>
        <w:t>Електронна послуга — адміністративна послуга, що надається суб’єкту звернення в електронній формі за допомогою засобів інформаційних, телекомунікаційних, інформаційно-телекомунікаційних систем.</w:t>
      </w:r>
    </w:p>
    <w:p w:rsidR="002500BF" w:rsidRDefault="002500BF" w:rsidP="002500BF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F36DD">
        <w:rPr>
          <w:rFonts w:ascii="Times New Roman" w:eastAsia="Times New Roman" w:hAnsi="Times New Roman"/>
          <w:sz w:val="28"/>
          <w:szCs w:val="28"/>
          <w:lang w:eastAsia="uk-UA"/>
        </w:rPr>
        <w:t>З цією метою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управлінням ЦНАП було здійснено ряд заходів, а саме:</w:t>
      </w:r>
    </w:p>
    <w:p w:rsidR="002500BF" w:rsidRPr="008F36DD" w:rsidRDefault="002500BF" w:rsidP="002500BF">
      <w:pPr>
        <w:pStyle w:val="a4"/>
        <w:numPr>
          <w:ilvl w:val="0"/>
          <w:numId w:val="7"/>
        </w:numPr>
        <w:shd w:val="clear" w:color="auto" w:fill="FFFFFF"/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F36DD">
        <w:rPr>
          <w:rFonts w:ascii="Times New Roman" w:eastAsia="Times New Roman" w:hAnsi="Times New Roman"/>
          <w:sz w:val="28"/>
          <w:szCs w:val="28"/>
          <w:lang w:eastAsia="uk-UA"/>
        </w:rPr>
        <w:t>організ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овано</w:t>
      </w:r>
      <w:r w:rsidRPr="008F36DD">
        <w:rPr>
          <w:rFonts w:ascii="Times New Roman" w:eastAsia="Times New Roman" w:hAnsi="Times New Roman"/>
          <w:sz w:val="28"/>
          <w:szCs w:val="28"/>
          <w:lang w:eastAsia="uk-UA"/>
        </w:rPr>
        <w:t xml:space="preserve"> видач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Pr="008F36DD">
        <w:rPr>
          <w:rFonts w:ascii="Times New Roman" w:eastAsia="Times New Roman" w:hAnsi="Times New Roman"/>
          <w:sz w:val="28"/>
          <w:szCs w:val="28"/>
          <w:lang w:eastAsia="uk-UA"/>
        </w:rPr>
        <w:t xml:space="preserve"> результату надання електронної послуги в паперовій формі, під час замовлення послуги он-лайн через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електронну пошту, інші </w:t>
      </w:r>
      <w:r w:rsidRPr="008F36DD">
        <w:rPr>
          <w:rFonts w:ascii="Times New Roman" w:eastAsia="Times New Roman" w:hAnsi="Times New Roman"/>
          <w:sz w:val="28"/>
          <w:szCs w:val="28"/>
          <w:lang w:eastAsia="uk-UA"/>
        </w:rPr>
        <w:t>інформа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ційно-телекомунікаційні системи, або ж, за бажанням замовника, направлення йому результату адміністративної послуги за допомогою засобів телекомунікаційного зв’язку, при замовлені послуги безпосередньо у ЦНАПі;</w:t>
      </w:r>
    </w:p>
    <w:p w:rsidR="002500BF" w:rsidRDefault="002500BF" w:rsidP="002500BF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надання</w:t>
      </w:r>
      <w:r w:rsidRPr="008F36DD">
        <w:rPr>
          <w:rFonts w:ascii="Times New Roman" w:eastAsia="Times New Roman" w:hAnsi="Times New Roman"/>
          <w:sz w:val="28"/>
          <w:szCs w:val="28"/>
          <w:lang w:eastAsia="uk-UA"/>
        </w:rPr>
        <w:t xml:space="preserve"> допомоги суб’єктам звернення під час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замовлення та</w:t>
      </w:r>
      <w:r w:rsidRPr="008F36DD">
        <w:rPr>
          <w:rFonts w:ascii="Times New Roman" w:eastAsia="Times New Roman" w:hAnsi="Times New Roman"/>
          <w:sz w:val="28"/>
          <w:szCs w:val="28"/>
          <w:lang w:eastAsia="uk-UA"/>
        </w:rPr>
        <w:t xml:space="preserve"> отримання електронних послуг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(інформаційний кіоск, інформаційні ресурси, куточок самообслуговування населення)</w:t>
      </w:r>
      <w:r w:rsidRPr="008F36DD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2500BF" w:rsidRDefault="002500BF" w:rsidP="002500BF">
      <w:pPr>
        <w:pStyle w:val="a4"/>
        <w:numPr>
          <w:ilvl w:val="0"/>
          <w:numId w:val="7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реалізація</w:t>
      </w:r>
      <w:r w:rsidRPr="00A2322C">
        <w:rPr>
          <w:rFonts w:ascii="Times New Roman" w:eastAsia="Times New Roman" w:hAnsi="Times New Roman"/>
          <w:sz w:val="28"/>
          <w:szCs w:val="28"/>
          <w:lang w:eastAsia="uk-UA"/>
        </w:rPr>
        <w:t xml:space="preserve"> можливості отрим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ання дистанційної консультації щодо порядку отримання адміністративних послуг по телефону, електронною поштою, за допомогою сторінки ЦНАП у Фейсбуці.</w:t>
      </w:r>
    </w:p>
    <w:p w:rsidR="002500BF" w:rsidRPr="00C77838" w:rsidRDefault="002500BF" w:rsidP="002500BF">
      <w:pPr>
        <w:pStyle w:val="a4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76" w:lineRule="auto"/>
        <w:ind w:left="0" w:firstLine="426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77838">
        <w:rPr>
          <w:rFonts w:ascii="Times New Roman" w:eastAsia="Times New Roman" w:hAnsi="Times New Roman"/>
          <w:b/>
          <w:sz w:val="28"/>
          <w:szCs w:val="28"/>
          <w:lang w:eastAsia="uk-UA"/>
        </w:rPr>
        <w:t>Заходи щодо інформування населення.</w:t>
      </w:r>
    </w:p>
    <w:p w:rsidR="002500BF" w:rsidRDefault="002500BF" w:rsidP="002500BF">
      <w:pPr>
        <w:widowControl w:val="0"/>
        <w:tabs>
          <w:tab w:val="right" w:pos="851"/>
        </w:tabs>
        <w:snapToGrid w:val="0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C77838">
        <w:rPr>
          <w:rFonts w:ascii="Times New Roman" w:hAnsi="Times New Roman"/>
          <w:sz w:val="28"/>
          <w:szCs w:val="28"/>
        </w:rPr>
        <w:t>Протягом 2021 року управління ЦНАП працюва</w:t>
      </w:r>
      <w:r>
        <w:rPr>
          <w:rFonts w:ascii="Times New Roman" w:hAnsi="Times New Roman"/>
          <w:sz w:val="28"/>
          <w:szCs w:val="28"/>
        </w:rPr>
        <w:t>в</w:t>
      </w:r>
      <w:r w:rsidRPr="00C77838">
        <w:rPr>
          <w:rFonts w:ascii="Times New Roman" w:hAnsi="Times New Roman"/>
          <w:sz w:val="28"/>
          <w:szCs w:val="28"/>
        </w:rPr>
        <w:t xml:space="preserve"> над наповненням </w:t>
      </w:r>
      <w:r>
        <w:rPr>
          <w:rFonts w:ascii="Times New Roman" w:hAnsi="Times New Roman"/>
          <w:sz w:val="28"/>
          <w:szCs w:val="28"/>
        </w:rPr>
        <w:t xml:space="preserve">розділу «Центр надання адміністративних послуг» на офіційному сайті Бучанської міської ради, а також сторінки ЦНАП у Фейсбуці </w:t>
      </w:r>
      <w:r w:rsidRPr="00C77838">
        <w:rPr>
          <w:rFonts w:ascii="Times New Roman" w:hAnsi="Times New Roman"/>
          <w:sz w:val="28"/>
          <w:szCs w:val="28"/>
        </w:rPr>
        <w:t xml:space="preserve">актуальною, повною та достовірною інформацією щодо своєї діяльності, а також щодо висвітлення порядку отримання адміністративних послуг. </w:t>
      </w:r>
      <w:r>
        <w:rPr>
          <w:rFonts w:ascii="Times New Roman" w:hAnsi="Times New Roman"/>
          <w:sz w:val="28"/>
          <w:szCs w:val="28"/>
        </w:rPr>
        <w:t>На сайтах доступна інформація щодо годин прийому суб’єктів звернення</w:t>
      </w:r>
      <w:r w:rsidRPr="00C77838">
        <w:rPr>
          <w:rFonts w:ascii="Times New Roman" w:hAnsi="Times New Roman"/>
          <w:sz w:val="28"/>
          <w:szCs w:val="28"/>
        </w:rPr>
        <w:t>, перелік</w:t>
      </w:r>
      <w:r>
        <w:rPr>
          <w:rFonts w:ascii="Times New Roman" w:hAnsi="Times New Roman"/>
          <w:sz w:val="28"/>
          <w:szCs w:val="28"/>
        </w:rPr>
        <w:t>у</w:t>
      </w:r>
      <w:r w:rsidRPr="00C77838">
        <w:rPr>
          <w:rFonts w:ascii="Times New Roman" w:hAnsi="Times New Roman"/>
          <w:sz w:val="28"/>
          <w:szCs w:val="28"/>
        </w:rPr>
        <w:t xml:space="preserve"> адміністративних послуг, інформаційні картки, зразки та бланки заяв, нормативні документи, якими керується діяльність управління ЦНАП, новини у сфері адмінпослуг тощо</w:t>
      </w:r>
      <w:r>
        <w:rPr>
          <w:rFonts w:ascii="Times New Roman" w:hAnsi="Times New Roman"/>
          <w:sz w:val="28"/>
          <w:szCs w:val="28"/>
        </w:rPr>
        <w:t>.</w:t>
      </w:r>
    </w:p>
    <w:p w:rsidR="002500BF" w:rsidRPr="00C77838" w:rsidRDefault="002500BF" w:rsidP="002500BF">
      <w:pPr>
        <w:widowControl w:val="0"/>
        <w:tabs>
          <w:tab w:val="right" w:pos="851"/>
        </w:tabs>
        <w:snapToGrid w:val="0"/>
        <w:spacing w:after="0"/>
        <w:ind w:firstLine="426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Також, у 2021 році запроваджено роботу Чат-боту, за допомогою якого відвідувачі мають можливість миттєво дізнатися відповіді на найактуальніші питання, обравши потрібну рубрику.</w:t>
      </w:r>
    </w:p>
    <w:p w:rsidR="002500BF" w:rsidRDefault="002500BF" w:rsidP="002500BF">
      <w:pPr>
        <w:pStyle w:val="a4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 секторі очікування розміщено роздатковий інформаційний матеріал, (буклети, плакати, листівки тощо) щодо порядку надання адміністративних послуг, роз’яснення щодо змін в законодавстві.</w:t>
      </w:r>
    </w:p>
    <w:p w:rsidR="006E28B5" w:rsidRPr="006E28B5" w:rsidRDefault="006E28B5" w:rsidP="002500BF">
      <w:pPr>
        <w:pStyle w:val="a4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00BF" w:rsidRPr="00B659E4" w:rsidRDefault="002500BF" w:rsidP="002500BF">
      <w:pPr>
        <w:pStyle w:val="a4"/>
        <w:numPr>
          <w:ilvl w:val="0"/>
          <w:numId w:val="9"/>
        </w:numPr>
        <w:tabs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ЦНАПі можна</w:t>
      </w:r>
      <w:r w:rsidRPr="00B659E4">
        <w:rPr>
          <w:rFonts w:ascii="Times New Roman" w:hAnsi="Times New Roman"/>
          <w:b/>
          <w:sz w:val="28"/>
          <w:szCs w:val="28"/>
        </w:rPr>
        <w:t xml:space="preserve"> отримати послуги щодо завантаження ковід-сертифіката та </w:t>
      </w:r>
      <w:r>
        <w:rPr>
          <w:rFonts w:ascii="Times New Roman" w:hAnsi="Times New Roman"/>
          <w:b/>
          <w:sz w:val="28"/>
          <w:szCs w:val="28"/>
        </w:rPr>
        <w:t xml:space="preserve">електронної картки </w:t>
      </w:r>
      <w:r w:rsidRPr="00B659E4">
        <w:rPr>
          <w:rFonts w:ascii="Times New Roman" w:hAnsi="Times New Roman"/>
          <w:b/>
          <w:sz w:val="28"/>
          <w:szCs w:val="28"/>
        </w:rPr>
        <w:t>є-Підтримка.</w:t>
      </w:r>
    </w:p>
    <w:p w:rsidR="002500BF" w:rsidRPr="000652C3" w:rsidRDefault="002500BF" w:rsidP="002500BF">
      <w:pPr>
        <w:pStyle w:val="a4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2021 році адміністратори ЦНАП пройшли навчання та здобули навики надання допомоги та консультацій громадянам щодо завантаження ковід-сертифіката та он-лайн картки для виплат  є-Підтримка.</w:t>
      </w:r>
    </w:p>
    <w:p w:rsidR="002500BF" w:rsidRDefault="002500BF" w:rsidP="002500BF">
      <w:pPr>
        <w:pStyle w:val="a4"/>
        <w:widowControl w:val="0"/>
        <w:tabs>
          <w:tab w:val="left" w:pos="1134"/>
        </w:tabs>
        <w:snapToGrid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069F1" w:rsidRDefault="00434967" w:rsidP="00D51E94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2022 році планується:</w:t>
      </w:r>
    </w:p>
    <w:p w:rsidR="00A7573B" w:rsidRPr="00434967" w:rsidRDefault="00434967" w:rsidP="00434967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B95CC1" w:rsidRPr="00434967">
        <w:rPr>
          <w:rFonts w:ascii="Times New Roman" w:hAnsi="Times New Roman"/>
          <w:sz w:val="28"/>
          <w:szCs w:val="28"/>
          <w:lang w:val="uk-UA"/>
        </w:rPr>
        <w:t>ідкриття Дія-Центру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7573B" w:rsidRPr="00434967" w:rsidRDefault="00434967" w:rsidP="00434967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B95CC1" w:rsidRPr="00434967">
        <w:rPr>
          <w:rFonts w:ascii="Times New Roman" w:hAnsi="Times New Roman"/>
          <w:sz w:val="28"/>
          <w:szCs w:val="28"/>
          <w:lang w:val="uk-UA"/>
        </w:rPr>
        <w:t xml:space="preserve">озширення переліку </w:t>
      </w:r>
      <w:r>
        <w:rPr>
          <w:rFonts w:ascii="Times New Roman" w:hAnsi="Times New Roman"/>
          <w:sz w:val="28"/>
          <w:szCs w:val="28"/>
          <w:lang w:val="uk-UA"/>
        </w:rPr>
        <w:t xml:space="preserve">адміністративних послуг </w:t>
      </w:r>
      <w:r w:rsidR="00B95CC1" w:rsidRPr="00434967">
        <w:rPr>
          <w:rFonts w:ascii="Times New Roman" w:hAnsi="Times New Roman"/>
          <w:sz w:val="28"/>
          <w:szCs w:val="28"/>
          <w:lang w:val="uk-UA"/>
        </w:rPr>
        <w:t>послуг до 380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7573B" w:rsidRPr="00434967" w:rsidRDefault="00434967" w:rsidP="00434967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B95CC1" w:rsidRPr="00434967">
        <w:rPr>
          <w:rFonts w:ascii="Times New Roman" w:hAnsi="Times New Roman"/>
          <w:sz w:val="28"/>
          <w:szCs w:val="28"/>
          <w:lang w:val="uk-UA"/>
        </w:rPr>
        <w:t>ідключення адміністраторів старостатів до державних реєстрів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2500BF">
        <w:rPr>
          <w:rFonts w:ascii="Times New Roman" w:hAnsi="Times New Roman"/>
          <w:sz w:val="28"/>
          <w:szCs w:val="28"/>
          <w:lang w:val="uk-UA"/>
        </w:rPr>
        <w:t>Єдиного державного реєстру юридичних осіб, фізичних осіб-підприємців та громадських формувань, Єдиного Державного реєстру речових прав на нерухоме майно та Державного реєстру актів цивільного стану 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 тощо);</w:t>
      </w:r>
    </w:p>
    <w:p w:rsidR="00A7573B" w:rsidRPr="00434967" w:rsidRDefault="00434967" w:rsidP="00434967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B95CC1" w:rsidRPr="00434967">
        <w:rPr>
          <w:rFonts w:ascii="Times New Roman" w:hAnsi="Times New Roman"/>
          <w:sz w:val="28"/>
          <w:szCs w:val="28"/>
          <w:lang w:val="uk-UA"/>
        </w:rPr>
        <w:t xml:space="preserve">новлення оргтехніки та закупівля однієї додаткової робочої станції для оформлення закордонних паспортів та </w:t>
      </w:r>
      <w:r w:rsidR="00B95CC1" w:rsidRPr="00434967">
        <w:rPr>
          <w:rFonts w:ascii="Times New Roman" w:hAnsi="Times New Roman"/>
          <w:sz w:val="28"/>
          <w:szCs w:val="28"/>
          <w:lang w:val="en-US"/>
        </w:rPr>
        <w:t>ID</w:t>
      </w:r>
      <w:r w:rsidR="00B95CC1" w:rsidRPr="00434967">
        <w:rPr>
          <w:rFonts w:ascii="Times New Roman" w:hAnsi="Times New Roman"/>
          <w:sz w:val="28"/>
          <w:szCs w:val="28"/>
        </w:rPr>
        <w:t xml:space="preserve"> </w:t>
      </w:r>
      <w:r w:rsidR="00B95CC1" w:rsidRPr="00434967">
        <w:rPr>
          <w:rFonts w:ascii="Times New Roman" w:hAnsi="Times New Roman"/>
          <w:sz w:val="28"/>
          <w:szCs w:val="28"/>
          <w:lang w:val="uk-UA"/>
        </w:rPr>
        <w:t>карток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7573B" w:rsidRPr="00434967" w:rsidRDefault="00434967" w:rsidP="00434967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B95CC1" w:rsidRPr="00434967">
        <w:rPr>
          <w:rFonts w:ascii="Times New Roman" w:hAnsi="Times New Roman"/>
          <w:sz w:val="28"/>
          <w:szCs w:val="28"/>
          <w:lang w:val="uk-UA"/>
        </w:rPr>
        <w:t>становлення  інформаційних кіосків самообслуговування в старостатах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7573B" w:rsidRPr="00434967" w:rsidRDefault="00434967" w:rsidP="00434967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B95CC1" w:rsidRPr="00434967">
        <w:rPr>
          <w:rFonts w:ascii="Times New Roman" w:hAnsi="Times New Roman"/>
          <w:sz w:val="28"/>
          <w:szCs w:val="28"/>
          <w:lang w:val="uk-UA"/>
        </w:rPr>
        <w:t>апровадження онлайн черги з попередньою реєстрацією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="00B95CC1" w:rsidRPr="0043496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7573B" w:rsidRPr="00434967" w:rsidRDefault="00434967" w:rsidP="00434967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B95CC1" w:rsidRPr="00434967">
        <w:rPr>
          <w:rFonts w:ascii="Times New Roman" w:hAnsi="Times New Roman"/>
          <w:sz w:val="28"/>
          <w:szCs w:val="28"/>
          <w:lang w:val="uk-UA"/>
        </w:rPr>
        <w:t>новлення вказівників для осіб з інвалідністю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4967" w:rsidRDefault="00434967" w:rsidP="00D51E94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4967" w:rsidRDefault="00434967" w:rsidP="00D51E94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4967" w:rsidRPr="00A400A9" w:rsidRDefault="00434967" w:rsidP="00D51E94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6B4E" w:rsidRDefault="00BB6B4E" w:rsidP="00D51E94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Керуючий справами</w:t>
      </w:r>
    </w:p>
    <w:p w:rsidR="00D51E94" w:rsidRPr="00A400A9" w:rsidRDefault="00BB6B4E" w:rsidP="00D51E94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міської ради                                               </w:t>
      </w:r>
      <w:r w:rsidR="00D51E94" w:rsidRPr="00A400A9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A400A9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D51E94" w:rsidRPr="00A400A9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2D3FF6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D51E94" w:rsidRPr="00A400A9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Дмитро </w:t>
      </w:r>
      <w:r w:rsidR="002D3FF6">
        <w:rPr>
          <w:rFonts w:ascii="Times New Roman" w:hAnsi="Times New Roman"/>
          <w:b/>
          <w:sz w:val="28"/>
          <w:szCs w:val="28"/>
          <w:lang w:val="uk-UA"/>
        </w:rPr>
        <w:t>ГАПЧЕНКО</w:t>
      </w: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37AB6" w:rsidRDefault="0030186D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51E94" w:rsidRPr="00C37AB6" w:rsidRDefault="00C37AB6" w:rsidP="00D51E94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37AB6">
        <w:rPr>
          <w:rFonts w:ascii="Times New Roman" w:hAnsi="Times New Roman"/>
          <w:b/>
          <w:sz w:val="28"/>
          <w:szCs w:val="28"/>
          <w:lang w:val="uk-UA"/>
        </w:rPr>
        <w:t>Начальник управління</w:t>
      </w:r>
    </w:p>
    <w:p w:rsidR="00C37AB6" w:rsidRPr="00C37AB6" w:rsidRDefault="00C37AB6" w:rsidP="00D51E94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37AB6">
        <w:rPr>
          <w:rFonts w:ascii="Times New Roman" w:hAnsi="Times New Roman"/>
          <w:b/>
          <w:sz w:val="28"/>
          <w:szCs w:val="28"/>
          <w:lang w:val="uk-UA"/>
        </w:rPr>
        <w:t>ЦНАП                                                                                   Оксана МИХАЛЬЧУК</w:t>
      </w:r>
    </w:p>
    <w:p w:rsidR="00D51E94" w:rsidRPr="00C37AB6" w:rsidRDefault="00D51E94" w:rsidP="00D51E94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2500BF" w:rsidRDefault="002500BF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2500BF" w:rsidRDefault="002500BF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2500BF" w:rsidRDefault="002500BF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2500BF" w:rsidRDefault="002500BF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2500BF" w:rsidRDefault="002500BF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D51E94" w:rsidRDefault="00D51E94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D51E94" w:rsidRDefault="007B6E10" w:rsidP="00D51E94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D51E94">
        <w:rPr>
          <w:rFonts w:ascii="Times New Roman" w:hAnsi="Times New Roman"/>
          <w:sz w:val="18"/>
          <w:szCs w:val="18"/>
          <w:lang w:val="uk-UA"/>
        </w:rPr>
        <w:t>(04597)40-041</w:t>
      </w:r>
    </w:p>
    <w:sectPr w:rsidR="00D51E94" w:rsidSect="0089187C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6305"/>
    <w:multiLevelType w:val="hybridMultilevel"/>
    <w:tmpl w:val="B9C66FCC"/>
    <w:lvl w:ilvl="0" w:tplc="A8A2CD9E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u w:val="single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12BF5563"/>
    <w:multiLevelType w:val="hybridMultilevel"/>
    <w:tmpl w:val="AE24074E"/>
    <w:lvl w:ilvl="0" w:tplc="B51A3464">
      <w:start w:val="1"/>
      <w:numFmt w:val="decimal"/>
      <w:lvlText w:val="%1)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9A6245C"/>
    <w:multiLevelType w:val="multilevel"/>
    <w:tmpl w:val="CF84AD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A7664D"/>
    <w:multiLevelType w:val="hybridMultilevel"/>
    <w:tmpl w:val="1AD25354"/>
    <w:lvl w:ilvl="0" w:tplc="185A9CAC">
      <w:start w:val="1"/>
      <w:numFmt w:val="bullet"/>
      <w:lvlText w:val="-"/>
      <w:lvlJc w:val="left"/>
      <w:pPr>
        <w:ind w:left="128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24797AAC"/>
    <w:multiLevelType w:val="hybridMultilevel"/>
    <w:tmpl w:val="C49AE854"/>
    <w:lvl w:ilvl="0" w:tplc="B41C1A7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100712"/>
    <w:multiLevelType w:val="multilevel"/>
    <w:tmpl w:val="C8ECC2D8"/>
    <w:lvl w:ilvl="0">
      <w:start w:val="1"/>
      <w:numFmt w:val="decimal"/>
      <w:lvlText w:val="%1."/>
      <w:lvlJc w:val="left"/>
      <w:pPr>
        <w:ind w:left="1668" w:hanging="9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943015"/>
    <w:multiLevelType w:val="hybridMultilevel"/>
    <w:tmpl w:val="4E1CD958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D53B9D"/>
    <w:multiLevelType w:val="hybridMultilevel"/>
    <w:tmpl w:val="0BF27E0A"/>
    <w:lvl w:ilvl="0" w:tplc="BBB23A04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8026F08"/>
    <w:multiLevelType w:val="hybridMultilevel"/>
    <w:tmpl w:val="42926014"/>
    <w:lvl w:ilvl="0" w:tplc="AC76D4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5E753B"/>
    <w:multiLevelType w:val="hybridMultilevel"/>
    <w:tmpl w:val="6870F8D4"/>
    <w:lvl w:ilvl="0" w:tplc="7FE05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3C5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BE5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205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D01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34EF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C6CB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5856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6C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F4C042D"/>
    <w:multiLevelType w:val="hybridMultilevel"/>
    <w:tmpl w:val="26FC04AA"/>
    <w:lvl w:ilvl="0" w:tplc="10D64D98">
      <w:start w:val="3"/>
      <w:numFmt w:val="decimal"/>
      <w:lvlText w:val="%1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FF97519"/>
    <w:multiLevelType w:val="multilevel"/>
    <w:tmpl w:val="CF84AD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8657ED"/>
    <w:multiLevelType w:val="multilevel"/>
    <w:tmpl w:val="E154E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1"/>
  </w:num>
  <w:num w:numId="5">
    <w:abstractNumId w:val="5"/>
  </w:num>
  <w:num w:numId="6">
    <w:abstractNumId w:val="12"/>
  </w:num>
  <w:num w:numId="7">
    <w:abstractNumId w:val="6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2E"/>
    <w:rsid w:val="00004CC9"/>
    <w:rsid w:val="00022EA6"/>
    <w:rsid w:val="000635F1"/>
    <w:rsid w:val="000D70EA"/>
    <w:rsid w:val="00111A25"/>
    <w:rsid w:val="00133554"/>
    <w:rsid w:val="00153EF1"/>
    <w:rsid w:val="00160515"/>
    <w:rsid w:val="00160E71"/>
    <w:rsid w:val="001B7646"/>
    <w:rsid w:val="001C6487"/>
    <w:rsid w:val="001D7294"/>
    <w:rsid w:val="001F1A8C"/>
    <w:rsid w:val="001F28C4"/>
    <w:rsid w:val="002500BF"/>
    <w:rsid w:val="002D3FF6"/>
    <w:rsid w:val="002D6156"/>
    <w:rsid w:val="0030186D"/>
    <w:rsid w:val="003E655A"/>
    <w:rsid w:val="00401D7E"/>
    <w:rsid w:val="00434967"/>
    <w:rsid w:val="00451E56"/>
    <w:rsid w:val="004926D1"/>
    <w:rsid w:val="004A6589"/>
    <w:rsid w:val="004C32A1"/>
    <w:rsid w:val="004E408D"/>
    <w:rsid w:val="00506181"/>
    <w:rsid w:val="00527F3D"/>
    <w:rsid w:val="00594A3B"/>
    <w:rsid w:val="00617B0C"/>
    <w:rsid w:val="00630AB0"/>
    <w:rsid w:val="00645981"/>
    <w:rsid w:val="006C1D7C"/>
    <w:rsid w:val="006E28B5"/>
    <w:rsid w:val="006F3BAC"/>
    <w:rsid w:val="007116CB"/>
    <w:rsid w:val="00734D85"/>
    <w:rsid w:val="0076714B"/>
    <w:rsid w:val="0077332E"/>
    <w:rsid w:val="007B6E10"/>
    <w:rsid w:val="007F4AD8"/>
    <w:rsid w:val="00801D54"/>
    <w:rsid w:val="0084476D"/>
    <w:rsid w:val="0084703E"/>
    <w:rsid w:val="0088208B"/>
    <w:rsid w:val="0089187C"/>
    <w:rsid w:val="008A2BA1"/>
    <w:rsid w:val="008F1FA6"/>
    <w:rsid w:val="00902FF5"/>
    <w:rsid w:val="00937B9C"/>
    <w:rsid w:val="0095013A"/>
    <w:rsid w:val="00961280"/>
    <w:rsid w:val="009F1EF3"/>
    <w:rsid w:val="00A013CA"/>
    <w:rsid w:val="00A018E2"/>
    <w:rsid w:val="00A3733A"/>
    <w:rsid w:val="00A400A9"/>
    <w:rsid w:val="00A7573B"/>
    <w:rsid w:val="00A94E7E"/>
    <w:rsid w:val="00AB5C28"/>
    <w:rsid w:val="00AC7C67"/>
    <w:rsid w:val="00AF5788"/>
    <w:rsid w:val="00B95CC1"/>
    <w:rsid w:val="00BA1F03"/>
    <w:rsid w:val="00BB6B4E"/>
    <w:rsid w:val="00BC56C6"/>
    <w:rsid w:val="00BF52E5"/>
    <w:rsid w:val="00C069F1"/>
    <w:rsid w:val="00C37AB6"/>
    <w:rsid w:val="00D032A9"/>
    <w:rsid w:val="00D057C5"/>
    <w:rsid w:val="00D177B0"/>
    <w:rsid w:val="00D51E94"/>
    <w:rsid w:val="00D62209"/>
    <w:rsid w:val="00DC3A67"/>
    <w:rsid w:val="00DF0901"/>
    <w:rsid w:val="00E777C5"/>
    <w:rsid w:val="00E85B40"/>
    <w:rsid w:val="00E96896"/>
    <w:rsid w:val="00EB3215"/>
    <w:rsid w:val="00EC6740"/>
    <w:rsid w:val="00EF3E77"/>
    <w:rsid w:val="00F56411"/>
    <w:rsid w:val="00F74357"/>
    <w:rsid w:val="00F83A3A"/>
    <w:rsid w:val="00F958CA"/>
    <w:rsid w:val="00FC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7FA4"/>
  <w15:docId w15:val="{68228026-6845-469D-B9FB-733C80949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2E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33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896"/>
    <w:rPr>
      <w:rFonts w:ascii="Tahoma" w:eastAsia="Calibri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unhideWhenUsed/>
    <w:rsid w:val="00D51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tandard">
    <w:name w:val="Standard"/>
    <w:rsid w:val="006459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rvps2">
    <w:name w:val="rvps2"/>
    <w:basedOn w:val="a"/>
    <w:rsid w:val="002500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3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636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069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184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2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50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238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900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367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88;&#1072;&#1084;&#1072;_&#1079;&#1074;&#1080;&#1090;%20&#8211;%20&#1082;&#1086;&#1087;&#1110;&#110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88;&#1072;&#1084;&#1072;_&#1079;&#1074;&#1080;&#1090;%20&#8211;%20&#1082;&#1086;&#1087;&#1110;&#1103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88;&#1072;&#1084;&#1072;_&#1079;&#1074;&#1080;&#1090;%20&#8211;%20&#1082;&#1086;&#1087;&#1110;&#1103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88;&#1072;&#1084;&#1072;_&#1079;&#1074;&#1080;&#1090;%20&#8211;%20&#1082;&#1086;&#1087;&#1110;&#110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Лист1!$C$53</c:f>
              <c:strCache>
                <c:ptCount val="1"/>
                <c:pt idx="0">
                  <c:v>Кількість наданих послуг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Лист1!$B$54:$B$65</c:f>
              <c:strCache>
                <c:ptCount val="11"/>
                <c:pt idx="0">
                  <c:v>Реєстрація місця проживання</c:v>
                </c:pt>
                <c:pt idx="1">
                  <c:v>Паспортні послуги </c:v>
                </c:pt>
                <c:pt idx="2">
                  <c:v>Державна реєстрація нерухомого майна та їх обтяжень</c:v>
                </c:pt>
                <c:pt idx="3">
                  <c:v>Послуги Держгеокадастру</c:v>
                </c:pt>
                <c:pt idx="4">
                  <c:v>Державна реєстрація юридичних осіб,  фізичних осіб-підприємців</c:v>
                </c:pt>
                <c:pt idx="5">
                  <c:v>Послуги у сфері містобудування та будівництва</c:v>
                </c:pt>
                <c:pt idx="6">
                  <c:v>Послуги ДАБК</c:v>
                </c:pt>
                <c:pt idx="7">
                  <c:v>Власні земельні послуги</c:v>
                </c:pt>
                <c:pt idx="8">
                  <c:v>Послуги у сфері опіки та піклування</c:v>
                </c:pt>
                <c:pt idx="9">
                  <c:v>Послуги місцевого значення</c:v>
                </c:pt>
                <c:pt idx="10">
                  <c:v>Документи дозвільного характеру</c:v>
                </c:pt>
              </c:strCache>
            </c:strRef>
          </c:cat>
          <c:val>
            <c:numRef>
              <c:f>Лист1!$C$54:$C$65</c:f>
              <c:numCache>
                <c:formatCode>General</c:formatCode>
                <c:ptCount val="12"/>
                <c:pt idx="0">
                  <c:v>16237</c:v>
                </c:pt>
                <c:pt idx="1">
                  <c:v>10086</c:v>
                </c:pt>
                <c:pt idx="2">
                  <c:v>2789</c:v>
                </c:pt>
                <c:pt idx="3">
                  <c:v>2777</c:v>
                </c:pt>
                <c:pt idx="4">
                  <c:v>1470</c:v>
                </c:pt>
                <c:pt idx="5">
                  <c:v>1257</c:v>
                </c:pt>
                <c:pt idx="6">
                  <c:v>1085</c:v>
                </c:pt>
                <c:pt idx="7">
                  <c:v>971</c:v>
                </c:pt>
                <c:pt idx="8">
                  <c:v>565</c:v>
                </c:pt>
                <c:pt idx="9">
                  <c:v>324</c:v>
                </c:pt>
                <c:pt idx="10">
                  <c:v>199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D1C-4186-B418-B081F24E0F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250826752"/>
        <c:axId val="250829056"/>
      </c:barChart>
      <c:catAx>
        <c:axId val="2508267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50829056"/>
        <c:crosses val="autoZero"/>
        <c:auto val="1"/>
        <c:lblAlgn val="ctr"/>
        <c:lblOffset val="100"/>
        <c:noMultiLvlLbl val="0"/>
      </c:catAx>
      <c:valAx>
        <c:axId val="25082905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508267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558427984112607"/>
          <c:y val="0.31074918022515091"/>
          <c:w val="0.79305925254918352"/>
          <c:h val="0.68748637189582074"/>
        </c:manualLayout>
      </c:layout>
      <c:pie3DChart>
        <c:varyColors val="1"/>
        <c:ser>
          <c:idx val="0"/>
          <c:order val="0"/>
          <c:tx>
            <c:strRef>
              <c:f>Лист1!$C$53</c:f>
              <c:strCache>
                <c:ptCount val="1"/>
                <c:pt idx="0">
                  <c:v>Кількість наданих послуг</c:v>
                </c:pt>
              </c:strCache>
            </c:strRef>
          </c:tx>
          <c:explosion val="10"/>
          <c:dLbls>
            <c:dLbl>
              <c:idx val="3"/>
              <c:layout>
                <c:manualLayout>
                  <c:x val="-5.0568601491185285E-2"/>
                  <c:y val="3.997410138056350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555-476F-84D6-27D044A47C6B}"/>
                </c:ext>
              </c:extLst>
            </c:dLbl>
            <c:dLbl>
              <c:idx val="4"/>
              <c:layout>
                <c:manualLayout>
                  <c:x val="-0.15051757910792124"/>
                  <c:y val="-8.11295139831659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555-476F-84D6-27D044A47C6B}"/>
                </c:ext>
              </c:extLst>
            </c:dLbl>
            <c:dLbl>
              <c:idx val="5"/>
              <c:layout>
                <c:manualLayout>
                  <c:x val="-0.10739940693254051"/>
                  <c:y val="-0.1245289166440401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555-476F-84D6-27D044A47C6B}"/>
                </c:ext>
              </c:extLst>
            </c:dLbl>
            <c:dLbl>
              <c:idx val="10"/>
              <c:layout>
                <c:manualLayout>
                  <c:x val="0.22986690822939168"/>
                  <c:y val="-6.076957886895437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555-476F-84D6-27D044A47C6B}"/>
                </c:ext>
              </c:extLst>
            </c:dLbl>
            <c:dLbl>
              <c:idx val="11"/>
              <c:layout>
                <c:manualLayout>
                  <c:x val="0.31258201131938151"/>
                  <c:y val="4.43373225561658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555-476F-84D6-27D044A47C6B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Лист1!$B$54:$B$65</c:f>
              <c:strCache>
                <c:ptCount val="11"/>
                <c:pt idx="0">
                  <c:v>Реєстрація місця проживання</c:v>
                </c:pt>
                <c:pt idx="1">
                  <c:v>Паспортні послуги </c:v>
                </c:pt>
                <c:pt idx="2">
                  <c:v>Державна реєстрація нерухомого майна та їх обтяжень</c:v>
                </c:pt>
                <c:pt idx="3">
                  <c:v>Послуги Держгеокадастру</c:v>
                </c:pt>
                <c:pt idx="4">
                  <c:v>Державна реєстрація юридичних осіб,  фізичних осіб-підприємців</c:v>
                </c:pt>
                <c:pt idx="5">
                  <c:v>Послуги у сфері містобудування та будівництва</c:v>
                </c:pt>
                <c:pt idx="6">
                  <c:v>Послуги ДАБК</c:v>
                </c:pt>
                <c:pt idx="7">
                  <c:v>Власні земельні послуги</c:v>
                </c:pt>
                <c:pt idx="8">
                  <c:v>Послуги у сфері опіки та піклування</c:v>
                </c:pt>
                <c:pt idx="9">
                  <c:v>Послуги місцевого значення</c:v>
                </c:pt>
                <c:pt idx="10">
                  <c:v>Документи дозвільного характеру</c:v>
                </c:pt>
              </c:strCache>
            </c:strRef>
          </c:cat>
          <c:val>
            <c:numRef>
              <c:f>Лист1!$C$54:$C$65</c:f>
              <c:numCache>
                <c:formatCode>General</c:formatCode>
                <c:ptCount val="12"/>
                <c:pt idx="0">
                  <c:v>16237</c:v>
                </c:pt>
                <c:pt idx="1">
                  <c:v>10086</c:v>
                </c:pt>
                <c:pt idx="2">
                  <c:v>2789</c:v>
                </c:pt>
                <c:pt idx="3">
                  <c:v>2777</c:v>
                </c:pt>
                <c:pt idx="4">
                  <c:v>1470</c:v>
                </c:pt>
                <c:pt idx="5">
                  <c:v>1257</c:v>
                </c:pt>
                <c:pt idx="6">
                  <c:v>1085</c:v>
                </c:pt>
                <c:pt idx="7">
                  <c:v>971</c:v>
                </c:pt>
                <c:pt idx="8">
                  <c:v>565</c:v>
                </c:pt>
                <c:pt idx="9">
                  <c:v>324</c:v>
                </c:pt>
                <c:pt idx="10">
                  <c:v>199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555-476F-84D6-27D044A47C6B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Лист1!$C$1</c:f>
              <c:strCache>
                <c:ptCount val="1"/>
                <c:pt idx="0">
                  <c:v>Кількість наданих послуг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Лист1!$B$2:$B$9</c:f>
              <c:strCache>
                <c:ptCount val="8"/>
                <c:pt idx="0">
                  <c:v>Бабинецький старостинський округ</c:v>
                </c:pt>
                <c:pt idx="1">
                  <c:v>Блиставицький старостинський округ</c:v>
                </c:pt>
                <c:pt idx="2">
                  <c:v>Ворзельський старостинський округ</c:v>
                </c:pt>
                <c:pt idx="3">
                  <c:v>Гаврилівський старостинський округ</c:v>
                </c:pt>
                <c:pt idx="4">
                  <c:v>Здвижівський старостинський округ</c:v>
                </c:pt>
                <c:pt idx="5">
                  <c:v>Мироцький старостинський округ</c:v>
                </c:pt>
                <c:pt idx="6">
                  <c:v>Луб’янський старостинський округ</c:v>
                </c:pt>
                <c:pt idx="7">
                  <c:v>Синяківський старостинський округ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959</c:v>
                </c:pt>
                <c:pt idx="1">
                  <c:v>468</c:v>
                </c:pt>
                <c:pt idx="2">
                  <c:v>2276</c:v>
                </c:pt>
                <c:pt idx="3">
                  <c:v>1871</c:v>
                </c:pt>
                <c:pt idx="4">
                  <c:v>809</c:v>
                </c:pt>
                <c:pt idx="5">
                  <c:v>137</c:v>
                </c:pt>
                <c:pt idx="6">
                  <c:v>559</c:v>
                </c:pt>
                <c:pt idx="7">
                  <c:v>1128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8B-4AB0-A33C-B0D8E2F26D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7554944"/>
        <c:axId val="197556480"/>
      </c:barChart>
      <c:catAx>
        <c:axId val="1975549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97556480"/>
        <c:crosses val="autoZero"/>
        <c:auto val="1"/>
        <c:lblAlgn val="ctr"/>
        <c:lblOffset val="100"/>
        <c:noMultiLvlLbl val="0"/>
      </c:catAx>
      <c:valAx>
        <c:axId val="197556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75549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712403596609246"/>
          <c:y val="0.19287068869912388"/>
          <c:w val="0.78370448791940228"/>
          <c:h val="0.75528169014084512"/>
        </c:manualLayout>
      </c:layout>
      <c:pie3DChart>
        <c:varyColors val="1"/>
        <c:ser>
          <c:idx val="0"/>
          <c:order val="0"/>
          <c:tx>
            <c:strRef>
              <c:f>Лист1!$C$1</c:f>
              <c:strCache>
                <c:ptCount val="1"/>
                <c:pt idx="0">
                  <c:v>Кількість наданих послуг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Лист1!$B$2:$B$9</c:f>
              <c:strCache>
                <c:ptCount val="8"/>
                <c:pt idx="0">
                  <c:v>Бабинецький старостинський округ</c:v>
                </c:pt>
                <c:pt idx="1">
                  <c:v>Блиставицький старостинський округ</c:v>
                </c:pt>
                <c:pt idx="2">
                  <c:v>Ворзельський старостинський округ</c:v>
                </c:pt>
                <c:pt idx="3">
                  <c:v>Гаврилівський старостинський округ</c:v>
                </c:pt>
                <c:pt idx="4">
                  <c:v>Здвижівський старостинський округ</c:v>
                </c:pt>
                <c:pt idx="5">
                  <c:v>Мироцький старостинський округ</c:v>
                </c:pt>
                <c:pt idx="6">
                  <c:v>Луб’янський старостинський округ</c:v>
                </c:pt>
                <c:pt idx="7">
                  <c:v>Синяківський старостинський округ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959</c:v>
                </c:pt>
                <c:pt idx="1">
                  <c:v>468</c:v>
                </c:pt>
                <c:pt idx="2">
                  <c:v>2276</c:v>
                </c:pt>
                <c:pt idx="3">
                  <c:v>1871</c:v>
                </c:pt>
                <c:pt idx="4">
                  <c:v>809</c:v>
                </c:pt>
                <c:pt idx="5">
                  <c:v>137</c:v>
                </c:pt>
                <c:pt idx="6">
                  <c:v>559</c:v>
                </c:pt>
                <c:pt idx="7">
                  <c:v>1128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2F-4A7E-83DD-594D0913A492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BFAD8-C7D4-458E-95CA-7315C0D4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11</Pages>
  <Words>2628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38</cp:revision>
  <cp:lastPrinted>2022-02-17T06:37:00Z</cp:lastPrinted>
  <dcterms:created xsi:type="dcterms:W3CDTF">2022-01-17T09:00:00Z</dcterms:created>
  <dcterms:modified xsi:type="dcterms:W3CDTF">2022-02-23T09:19:00Z</dcterms:modified>
</cp:coreProperties>
</file>